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07CD8E6" w:rsidR="0023068F" w:rsidRDefault="000B4D04" w:rsidP="0023068F">
            <w:pPr>
              <w:ind w:left="-113"/>
            </w:pPr>
            <w:r>
              <w:rPr>
                <w:b/>
                <w:bCs/>
                <w:sz w:val="32"/>
                <w:szCs w:val="32"/>
              </w:rPr>
              <w:t>3GPP TSG RAN WG1 Meeting #110-bis</w:t>
            </w:r>
            <w:r w:rsidR="0023068F" w:rsidRPr="2D31322C">
              <w:rPr>
                <w:b/>
                <w:bCs/>
                <w:sz w:val="32"/>
                <w:szCs w:val="32"/>
              </w:rPr>
              <w:t>-e</w:t>
            </w:r>
          </w:p>
        </w:tc>
        <w:tc>
          <w:tcPr>
            <w:tcW w:w="2409" w:type="dxa"/>
          </w:tcPr>
          <w:p w14:paraId="3061E7ED" w14:textId="6756AEC2" w:rsidR="0023068F" w:rsidRDefault="0023068F" w:rsidP="00744AE7">
            <w:pPr>
              <w:ind w:right="-115"/>
              <w:jc w:val="right"/>
            </w:pPr>
            <w:r w:rsidRPr="2D31322C">
              <w:rPr>
                <w:b/>
                <w:bCs/>
                <w:sz w:val="32"/>
                <w:szCs w:val="32"/>
              </w:rPr>
              <w:t>R1-</w:t>
            </w:r>
            <w:r w:rsidR="000B4D04">
              <w:rPr>
                <w:b/>
                <w:bCs/>
                <w:sz w:val="32"/>
                <w:szCs w:val="32"/>
              </w:rPr>
              <w:t>22</w:t>
            </w:r>
            <w:r w:rsidR="00744AE7">
              <w:rPr>
                <w:b/>
                <w:bCs/>
                <w:sz w:val="32"/>
                <w:szCs w:val="32"/>
              </w:rPr>
              <w:t>10051</w:t>
            </w:r>
          </w:p>
        </w:tc>
      </w:tr>
      <w:tr w:rsidR="0023068F" w14:paraId="4BE0F461" w14:textId="77777777" w:rsidTr="0023068F">
        <w:tc>
          <w:tcPr>
            <w:tcW w:w="9350" w:type="dxa"/>
            <w:gridSpan w:val="2"/>
          </w:tcPr>
          <w:p w14:paraId="37301D4D" w14:textId="37F1761C" w:rsidR="0023068F" w:rsidRDefault="0023068F" w:rsidP="0023068F">
            <w:pPr>
              <w:ind w:left="-113"/>
              <w:jc w:val="both"/>
            </w:pPr>
            <w:r w:rsidRPr="42EE5CAD">
              <w:rPr>
                <w:b/>
                <w:bCs/>
                <w:sz w:val="32"/>
                <w:szCs w:val="32"/>
              </w:rPr>
              <w:t xml:space="preserve">Online, </w:t>
            </w:r>
            <w:r w:rsidR="000B4D04">
              <w:rPr>
                <w:rFonts w:ascii="Calibri" w:eastAsia="Calibri" w:hAnsi="Calibri" w:cs="Calibri"/>
                <w:b/>
                <w:bCs/>
                <w:sz w:val="32"/>
                <w:szCs w:val="32"/>
              </w:rPr>
              <w:t>10</w:t>
            </w:r>
            <w:r w:rsidRPr="42EE5CAD">
              <w:rPr>
                <w:rFonts w:ascii="Calibri" w:eastAsia="Calibri" w:hAnsi="Calibri" w:cs="Calibri"/>
                <w:b/>
                <w:bCs/>
                <w:sz w:val="32"/>
                <w:szCs w:val="32"/>
                <w:vertAlign w:val="superscript"/>
              </w:rPr>
              <w:t>th</w:t>
            </w:r>
            <w:r w:rsidR="000B4D04">
              <w:rPr>
                <w:rFonts w:ascii="Calibri" w:eastAsia="Calibri" w:hAnsi="Calibri" w:cs="Calibri"/>
                <w:b/>
                <w:bCs/>
                <w:sz w:val="32"/>
                <w:szCs w:val="32"/>
              </w:rPr>
              <w:t xml:space="preserve"> – 19</w:t>
            </w:r>
            <w:r w:rsidRPr="42EE5CAD">
              <w:rPr>
                <w:rFonts w:ascii="Calibri" w:eastAsia="Calibri" w:hAnsi="Calibri" w:cs="Calibri"/>
                <w:b/>
                <w:bCs/>
                <w:sz w:val="32"/>
                <w:szCs w:val="32"/>
                <w:vertAlign w:val="superscript"/>
              </w:rPr>
              <w:t>th</w:t>
            </w:r>
            <w:r w:rsidR="000B4D04">
              <w:rPr>
                <w:rFonts w:ascii="Calibri" w:eastAsia="Calibri" w:hAnsi="Calibri" w:cs="Calibri"/>
                <w:b/>
                <w:bCs/>
                <w:sz w:val="32"/>
                <w:szCs w:val="32"/>
              </w:rPr>
              <w:t xml:space="preserve"> October 2022</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1161BDCE" w:rsidR="112216B0" w:rsidRDefault="00EE4897" w:rsidP="006540CE">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6540CE">
              <w:rPr>
                <w:b w:val="0"/>
                <w:bCs w:val="0"/>
                <w:sz w:val="24"/>
                <w:szCs w:val="24"/>
              </w:rPr>
              <w:t>13.1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42ED8A2F" w:rsidR="112216B0" w:rsidRDefault="00EE4897" w:rsidP="00B974B2">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B974B2">
              <w:rPr>
                <w:sz w:val="24"/>
                <w:szCs w:val="24"/>
              </w:rPr>
              <w:t xml:space="preserve">Evaluation on </w:t>
            </w:r>
            <w:r>
              <w:rPr>
                <w:sz w:val="24"/>
                <w:szCs w:val="24"/>
              </w:rPr>
              <w:t>Low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bookmarkStart w:id="0" w:name="_GoBack"/>
      <w:bookmarkEnd w:id="0"/>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F855BF" w:rsidRDefault="004E7E43" w:rsidP="00F855BF">
                      <w:pPr>
                        <w:rPr>
                          <w:rFonts w:eastAsiaTheme="minorEastAsia"/>
                        </w:rPr>
                      </w:pPr>
                      <w:r>
                        <w:rPr>
                          <w:rFonts w:eastAsiaTheme="minorEastAsia"/>
                          <w:highlight w:val="green"/>
                        </w:rPr>
                        <w:t>Objectives</w:t>
                      </w:r>
                      <w:r w:rsidR="00F855BF" w:rsidRPr="2D31322C">
                        <w:rPr>
                          <w:rFonts w:eastAsiaTheme="minorEastAsia"/>
                        </w:rPr>
                        <w:t>:</w:t>
                      </w:r>
                    </w:p>
                    <w:p w14:paraId="4E572021" w14:textId="77777777" w:rsidR="004E7E43" w:rsidRPr="004E7E43" w:rsidRDefault="004E7E43"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4E7E43" w:rsidRPr="004E7E43" w:rsidRDefault="004E7E43"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4E7E43" w:rsidRPr="004E7E43" w:rsidRDefault="004E7E43"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4E7E43" w:rsidRPr="004E7E43" w:rsidRDefault="004E7E43"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4E7E43" w:rsidRPr="004E7E43" w:rsidRDefault="004E7E43"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F855BF" w:rsidRPr="001A230E" w:rsidRDefault="004E7E43"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245DDB1C" w14:textId="51ECC921" w:rsidR="006F5AAB" w:rsidRDefault="006F5AAB" w:rsidP="66396AB5">
      <w:pPr>
        <w:rPr>
          <w:rFonts w:ascii="Calibri" w:eastAsia="Calibri" w:hAnsi="Calibri" w:cs="Calibri"/>
        </w:rPr>
      </w:pPr>
    </w:p>
    <w:p w14:paraId="03ECDA1F" w14:textId="72DD30A9" w:rsidR="006F5AAB" w:rsidRDefault="006F5AAB" w:rsidP="66396AB5">
      <w:pPr>
        <w:rPr>
          <w:rFonts w:ascii="Calibri" w:eastAsia="Calibri" w:hAnsi="Calibri" w:cs="Calibri"/>
        </w:rPr>
      </w:pPr>
      <w:r>
        <w:rPr>
          <w:rFonts w:ascii="Calibri" w:eastAsia="Calibri" w:hAnsi="Calibri" w:cs="Calibri"/>
        </w:rPr>
        <w:t>The agenda item focuses on the first two points in the SI objectives and our contribution primarily concentrates on link-level evaluations.</w:t>
      </w:r>
    </w:p>
    <w:p w14:paraId="2AA0AADF" w14:textId="2AD06E37" w:rsidR="006F5AAB" w:rsidRDefault="006F5AAB" w:rsidP="006F5AAB">
      <w:pPr>
        <w:pStyle w:val="Heading1"/>
        <w:numPr>
          <w:ilvl w:val="0"/>
          <w:numId w:val="8"/>
        </w:numPr>
        <w:rPr>
          <w:rFonts w:eastAsia="Calibri"/>
        </w:rPr>
      </w:pPr>
      <w:r>
        <w:rPr>
          <w:rFonts w:eastAsia="Calibri"/>
        </w:rPr>
        <w:t>Use cases and KPIs</w:t>
      </w:r>
    </w:p>
    <w:p w14:paraId="40E9B25A" w14:textId="09484448" w:rsidR="008842D2" w:rsidRDefault="006F5AAB" w:rsidP="006F5AAB">
      <w:r>
        <w:t xml:space="preserve">As stated in the objectives, the primary use cases target devices with significant power constraints. </w:t>
      </w:r>
      <w:r w:rsidR="008842D2">
        <w:t>LP-WUS strives to enable longer battery life and hence less maintenance costs for these type of devices. Moreover, we distinguish two high level use cases, namely low-latency and latency-tolerant use cases.</w:t>
      </w:r>
    </w:p>
    <w:p w14:paraId="34702126" w14:textId="6225261D" w:rsidR="008842D2" w:rsidRDefault="008842D2" w:rsidP="006F5AAB">
      <w:r>
        <w:lastRenderedPageBreak/>
        <w:t xml:space="preserve">Low-latency use-cases require higher LP-WUS duty cycles or monitoring occasions and hence the overall power-consumption of the wake-up radio (WUR) will be higher compared to latency-tolerant applications. Consequently, there is a fundamental trade-off between latency and power consumption. </w:t>
      </w:r>
    </w:p>
    <w:p w14:paraId="5BC5D5CC" w14:textId="77777777" w:rsidR="008842D2" w:rsidRDefault="008842D2" w:rsidP="006F5AAB">
      <w:r>
        <w:t>Examples of low-latency use cases are: Actuator control (e.g. electronic valves), On-demand (near real-time) measurements from sensors (temperature, pressure, location, etc).</w:t>
      </w:r>
    </w:p>
    <w:p w14:paraId="00CC2AA6" w14:textId="418606AB" w:rsidR="003975A7" w:rsidRDefault="008842D2" w:rsidP="006F5AAB">
      <w:r>
        <w:t xml:space="preserve">Latency-tolerant uses cases include: Wearables, </w:t>
      </w:r>
      <w:r w:rsidR="0036778C">
        <w:t>smart metering or control of health devices like connected insulin pumps in a pediatric setting, where the patient cannot make treatment decisions and/or is unable to operate/carry a cell-phone with Bluetooth connection to the pump.</w:t>
      </w:r>
    </w:p>
    <w:p w14:paraId="4DBA92C1" w14:textId="0717FA9E" w:rsidR="003975A7" w:rsidRDefault="003975A7" w:rsidP="006F5AAB">
      <w:r>
        <w:t>Important KPIs include:</w:t>
      </w:r>
    </w:p>
    <w:p w14:paraId="3DF62457" w14:textId="25DCDF51" w:rsidR="003975A7" w:rsidRDefault="003975A7" w:rsidP="003975A7">
      <w:pPr>
        <w:pStyle w:val="ListParagraph"/>
        <w:numPr>
          <w:ilvl w:val="0"/>
          <w:numId w:val="11"/>
        </w:numPr>
      </w:pPr>
      <w:r>
        <w:t>Power consumption</w:t>
      </w:r>
    </w:p>
    <w:p w14:paraId="256FF76D" w14:textId="15D2B354" w:rsidR="003975A7" w:rsidRDefault="003975A7" w:rsidP="003975A7">
      <w:pPr>
        <w:pStyle w:val="ListParagraph"/>
        <w:numPr>
          <w:ilvl w:val="0"/>
          <w:numId w:val="11"/>
        </w:numPr>
      </w:pPr>
      <w:r>
        <w:t>Latency</w:t>
      </w:r>
    </w:p>
    <w:p w14:paraId="4F364D05" w14:textId="6D2DDB4F" w:rsidR="003975A7" w:rsidRDefault="00DE5800" w:rsidP="003975A7">
      <w:pPr>
        <w:pStyle w:val="ListParagraph"/>
        <w:numPr>
          <w:ilvl w:val="0"/>
          <w:numId w:val="11"/>
        </w:numPr>
      </w:pPr>
      <w:r>
        <w:t>Unnecessary wakeup: UEs that are woken up because they are part of a group of UEs where other UEs are concerned by the wakeup. This is due to UE grouping which is necessary if the WUS capacity is insufficient to independently indicate individual UEs.</w:t>
      </w:r>
    </w:p>
    <w:p w14:paraId="134368E7" w14:textId="2509368F" w:rsidR="00DE5800" w:rsidRDefault="00DE5800" w:rsidP="003975A7">
      <w:pPr>
        <w:pStyle w:val="ListParagraph"/>
        <w:numPr>
          <w:ilvl w:val="0"/>
          <w:numId w:val="11"/>
        </w:numPr>
      </w:pPr>
      <w:r>
        <w:t>False wakeup: UE wakes up because of erroneous WUS decoding</w:t>
      </w:r>
    </w:p>
    <w:p w14:paraId="6D7EC8B7" w14:textId="1DE0376A" w:rsidR="00DE5800" w:rsidRDefault="00DE5800" w:rsidP="003975A7">
      <w:pPr>
        <w:pStyle w:val="ListParagraph"/>
        <w:numPr>
          <w:ilvl w:val="0"/>
          <w:numId w:val="11"/>
        </w:numPr>
      </w:pPr>
      <w:r>
        <w:t>False alarm: UE wakes up because it detected a WUS when there was one transmitted</w:t>
      </w:r>
    </w:p>
    <w:p w14:paraId="7BF47219" w14:textId="0260DC0F" w:rsidR="000C4231" w:rsidRPr="00425189" w:rsidRDefault="00DE5800" w:rsidP="66396AB5">
      <w:r>
        <w:t>The unnecessary and false wakeup events all impact the overall power consumption and latency.</w:t>
      </w:r>
      <w:r w:rsidR="00033787">
        <w:t xml:space="preserve"> However, we consider false alarms to be a rare event</w:t>
      </w:r>
      <w:r w:rsidR="00425189">
        <w:t xml:space="preserve"> (compared to a false wakeup)</w:t>
      </w:r>
      <w:r w:rsidR="00033787">
        <w:t xml:space="preserve"> if the UE grouping and duty cycles are dimensioned correctly. </w:t>
      </w:r>
    </w:p>
    <w:p w14:paraId="42180FE0" w14:textId="57D6C8CD" w:rsidR="000C4231" w:rsidRDefault="00953A47" w:rsidP="000C4231">
      <w:pPr>
        <w:pStyle w:val="Heading1"/>
        <w:numPr>
          <w:ilvl w:val="0"/>
          <w:numId w:val="8"/>
        </w:numPr>
        <w:rPr>
          <w:rFonts w:eastAsia="Calibri"/>
        </w:rPr>
      </w:pPr>
      <w:r>
        <w:rPr>
          <w:rFonts w:eastAsia="Calibri"/>
        </w:rPr>
        <w:t>WUS Link-Level evaluation assumptions</w:t>
      </w:r>
    </w:p>
    <w:p w14:paraId="582359F7" w14:textId="57605DA7" w:rsidR="000C4231" w:rsidRDefault="00D326BE" w:rsidP="000C4231">
      <w:r>
        <w:t>Our basis assumptions for the link-level evaluation are the following:</w:t>
      </w:r>
    </w:p>
    <w:p w14:paraId="27A484DA" w14:textId="51404024" w:rsidR="00D326BE" w:rsidRDefault="00D326BE" w:rsidP="000C4231">
      <w:r w:rsidRPr="00A03B06">
        <w:rPr>
          <w:b/>
        </w:rPr>
        <w:t>WUS capacity</w:t>
      </w:r>
      <w:r>
        <w:t>: We consider the WUS cap</w:t>
      </w:r>
      <w:r w:rsidR="00A03B06">
        <w:t>acity to be in the range of 3-12</w:t>
      </w:r>
      <w:r>
        <w:t xml:space="preserve"> bits. More precisely, we assume as in previous WUS designs that some kind of U</w:t>
      </w:r>
      <w:r w:rsidR="00A03B06">
        <w:t xml:space="preserve">E grouping is performed. A low capacity has the advantage that the WUS signaling is more efficient, i.e. the WUS is shorter and more reliable. </w:t>
      </w:r>
    </w:p>
    <w:p w14:paraId="26F5BA71" w14:textId="63348665" w:rsidR="00D326BE" w:rsidRDefault="00A03B06" w:rsidP="000C4231">
      <w:r w:rsidRPr="00A03B06">
        <w:rPr>
          <w:b/>
        </w:rPr>
        <w:t>Modulation</w:t>
      </w:r>
      <w:r w:rsidR="00D326BE">
        <w:t xml:space="preserve">: We </w:t>
      </w:r>
      <w:r>
        <w:t>primarily focus on multi-carrier OOK as it enables seamless integration into the existing NR transmitting chain as well low-power receiver architectures.</w:t>
      </w:r>
    </w:p>
    <w:p w14:paraId="7114BFF5" w14:textId="3D9F1081" w:rsidR="00A03B06" w:rsidRDefault="00A03B06" w:rsidP="000C4231">
      <w:r>
        <w:t>The simulations are carried out in base-band, i.e. a low-pass filter is used to extract the WUS from the overall system bandwidth followed by a decimation to reduce the sampling rate.</w:t>
      </w:r>
    </w:p>
    <w:p w14:paraId="1A48EE4C" w14:textId="66653687" w:rsidR="00CA5D44" w:rsidRDefault="00CA5D44" w:rsidP="000C4231">
      <w:r>
        <w:t xml:space="preserve">We focus on BLER performance, i.e. zero error is declared if </w:t>
      </w:r>
      <w:r w:rsidRPr="00CA5D44">
        <w:rPr>
          <w:i/>
        </w:rPr>
        <w:t>all</w:t>
      </w:r>
      <w:r>
        <w:t xml:space="preserve"> the bi</w:t>
      </w:r>
      <w:r w:rsidR="00BB5D49">
        <w:t>ts have been received correctly and the block is in error if at least one bit is wrong.</w:t>
      </w:r>
    </w:p>
    <w:p w14:paraId="1207C0FF" w14:textId="04F2E10E" w:rsidR="00A03B06" w:rsidRDefault="00A03B06" w:rsidP="000C4231">
      <w:r>
        <w:t xml:space="preserve">More detailed assumptions are given in </w:t>
      </w:r>
      <w:r>
        <w:fldChar w:fldCharType="begin"/>
      </w:r>
      <w:r>
        <w:instrText xml:space="preserve"> REF _Ref115427744 \h </w:instrText>
      </w:r>
      <w:r>
        <w:fldChar w:fldCharType="separate"/>
      </w:r>
      <w:r w:rsidR="001D2EAB">
        <w:t xml:space="preserve">Table </w:t>
      </w:r>
      <w:r w:rsidR="001D2EAB">
        <w:rPr>
          <w:noProof/>
        </w:rPr>
        <w:t>1</w:t>
      </w:r>
      <w:r>
        <w:fldChar w:fldCharType="end"/>
      </w:r>
      <w:r>
        <w:t>.</w:t>
      </w:r>
    </w:p>
    <w:tbl>
      <w:tblPr>
        <w:tblStyle w:val="GridTable1Light"/>
        <w:tblW w:w="0" w:type="auto"/>
        <w:tblLook w:val="04A0" w:firstRow="1" w:lastRow="0" w:firstColumn="1" w:lastColumn="0" w:noHBand="0" w:noVBand="1"/>
      </w:tblPr>
      <w:tblGrid>
        <w:gridCol w:w="4675"/>
        <w:gridCol w:w="4675"/>
      </w:tblGrid>
      <w:tr w:rsidR="00A03B06" w14:paraId="14359EAE" w14:textId="77777777" w:rsidTr="00A03B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9AA12E1" w14:textId="77777777" w:rsidR="00A03B06" w:rsidRDefault="00A03B06" w:rsidP="007F109C">
            <w:r>
              <w:t>Parameter</w:t>
            </w:r>
          </w:p>
        </w:tc>
        <w:tc>
          <w:tcPr>
            <w:tcW w:w="4675" w:type="dxa"/>
          </w:tcPr>
          <w:p w14:paraId="7CA2FFA0" w14:textId="77777777" w:rsidR="00A03B06" w:rsidRDefault="00A03B06" w:rsidP="007F109C">
            <w:pPr>
              <w:cnfStyle w:val="100000000000" w:firstRow="1" w:lastRow="0" w:firstColumn="0" w:lastColumn="0" w:oddVBand="0" w:evenVBand="0" w:oddHBand="0" w:evenHBand="0" w:firstRowFirstColumn="0" w:firstRowLastColumn="0" w:lastRowFirstColumn="0" w:lastRowLastColumn="0"/>
            </w:pPr>
            <w:r>
              <w:t>Value</w:t>
            </w:r>
          </w:p>
        </w:tc>
      </w:tr>
      <w:tr w:rsidR="00A03B06" w14:paraId="6402FBC8"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8152EEF" w14:textId="77777777" w:rsidR="00A03B06" w:rsidRDefault="00A03B06" w:rsidP="007F109C">
            <w:r>
              <w:t>Carrier Frequency</w:t>
            </w:r>
          </w:p>
        </w:tc>
        <w:tc>
          <w:tcPr>
            <w:tcW w:w="4675" w:type="dxa"/>
          </w:tcPr>
          <w:p w14:paraId="0FB669BC"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2 GHz</w:t>
            </w:r>
          </w:p>
        </w:tc>
      </w:tr>
      <w:tr w:rsidR="00A03B06" w14:paraId="51636B22"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182011E" w14:textId="77777777" w:rsidR="00A03B06" w:rsidRDefault="00A03B06" w:rsidP="007F109C">
            <w:r>
              <w:t>System BW</w:t>
            </w:r>
          </w:p>
        </w:tc>
        <w:tc>
          <w:tcPr>
            <w:tcW w:w="4675" w:type="dxa"/>
          </w:tcPr>
          <w:p w14:paraId="5371D774"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10MHz (52 PRBs)</w:t>
            </w:r>
          </w:p>
        </w:tc>
      </w:tr>
      <w:tr w:rsidR="00A03B06" w14:paraId="75234D32"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E11EA10" w14:textId="77777777" w:rsidR="00A03B06" w:rsidRDefault="00A03B06" w:rsidP="007F109C">
            <w:r>
              <w:t>SCS</w:t>
            </w:r>
          </w:p>
        </w:tc>
        <w:tc>
          <w:tcPr>
            <w:tcW w:w="4675" w:type="dxa"/>
          </w:tcPr>
          <w:p w14:paraId="404D6B89"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15kHz</w:t>
            </w:r>
          </w:p>
        </w:tc>
      </w:tr>
      <w:tr w:rsidR="00A03B06" w14:paraId="6505C074"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6555C9D" w14:textId="77777777" w:rsidR="00A03B06" w:rsidRDefault="00A03B06" w:rsidP="007F109C">
            <w:r>
              <w:t>Antenna configuration</w:t>
            </w:r>
          </w:p>
        </w:tc>
        <w:tc>
          <w:tcPr>
            <w:tcW w:w="4675" w:type="dxa"/>
          </w:tcPr>
          <w:p w14:paraId="73CEF123"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1Tx, 1Rx</w:t>
            </w:r>
          </w:p>
        </w:tc>
      </w:tr>
      <w:tr w:rsidR="00A03B06" w14:paraId="513BB3F3"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28B4FBFB" w14:textId="77777777" w:rsidR="00A03B06" w:rsidRDefault="00A03B06" w:rsidP="007F109C"/>
        </w:tc>
        <w:tc>
          <w:tcPr>
            <w:tcW w:w="4675" w:type="dxa"/>
          </w:tcPr>
          <w:p w14:paraId="42339DDB"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p>
        </w:tc>
      </w:tr>
      <w:tr w:rsidR="00A03B06" w14:paraId="758F9073"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7A733F80" w14:textId="77777777" w:rsidR="00A03B06" w:rsidRDefault="00A03B06" w:rsidP="007F109C">
            <w:r>
              <w:lastRenderedPageBreak/>
              <w:t>WUS BW</w:t>
            </w:r>
          </w:p>
        </w:tc>
        <w:tc>
          <w:tcPr>
            <w:tcW w:w="4675" w:type="dxa"/>
          </w:tcPr>
          <w:p w14:paraId="3258039E"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K = 64 SCs</w:t>
            </w:r>
          </w:p>
        </w:tc>
      </w:tr>
      <w:tr w:rsidR="00A03B06" w14:paraId="3F0E1539"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1FA573A1" w14:textId="77777777" w:rsidR="00A03B06" w:rsidRDefault="00A03B06" w:rsidP="007F109C">
            <w:r>
              <w:t>Low Pass Filter Type</w:t>
            </w:r>
          </w:p>
        </w:tc>
        <w:tc>
          <w:tcPr>
            <w:tcW w:w="4675" w:type="dxa"/>
          </w:tcPr>
          <w:p w14:paraId="2951B80A"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w:t>
            </w:r>
          </w:p>
        </w:tc>
      </w:tr>
      <w:tr w:rsidR="00A03B06" w14:paraId="3F739E85"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1A511163" w14:textId="77777777" w:rsidR="00A03B06" w:rsidRDefault="00A03B06" w:rsidP="007F109C">
            <w:r>
              <w:t>LPF Cut-off Frequency</w:t>
            </w:r>
          </w:p>
        </w:tc>
        <w:tc>
          <w:tcPr>
            <w:tcW w:w="4675" w:type="dxa"/>
          </w:tcPr>
          <w:p w14:paraId="3314C919"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2*(K/2+0.5)*SCS Hz</w:t>
            </w:r>
          </w:p>
        </w:tc>
      </w:tr>
      <w:tr w:rsidR="00A03B06" w14:paraId="3AB632D5"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5195375F" w14:textId="77777777" w:rsidR="00A03B06" w:rsidRDefault="00A03B06" w:rsidP="007F109C">
            <w:r>
              <w:t>WUS Waveform</w:t>
            </w:r>
          </w:p>
        </w:tc>
        <w:tc>
          <w:tcPr>
            <w:tcW w:w="4675" w:type="dxa"/>
          </w:tcPr>
          <w:p w14:paraId="647A164B" w14:textId="3649C57A" w:rsidR="00A03B06" w:rsidRDefault="00A03B06" w:rsidP="007F109C">
            <w:pPr>
              <w:cnfStyle w:val="000000000000" w:firstRow="0" w:lastRow="0" w:firstColumn="0" w:lastColumn="0" w:oddVBand="0" w:evenVBand="0" w:oddHBand="0" w:evenHBand="0" w:firstRowFirstColumn="0" w:firstRowLastColumn="0" w:lastRowFirstColumn="0" w:lastRowLastColumn="0"/>
            </w:pPr>
            <w:r>
              <w:t xml:space="preserve">MC-OOK, </w:t>
            </w:r>
            <w:r>
              <w:t>DFT-precoded MC-OOK</w:t>
            </w:r>
          </w:p>
        </w:tc>
      </w:tr>
      <w:tr w:rsidR="00A03B06" w14:paraId="42AF35AE"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7AC8EB52" w14:textId="77777777" w:rsidR="00A03B06" w:rsidRDefault="00A03B06" w:rsidP="007F109C"/>
        </w:tc>
        <w:tc>
          <w:tcPr>
            <w:tcW w:w="4675" w:type="dxa"/>
          </w:tcPr>
          <w:p w14:paraId="08F88FBF"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p>
        </w:tc>
      </w:tr>
      <w:tr w:rsidR="00A03B06" w14:paraId="3AF1951F"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56AB1CE4" w14:textId="77777777" w:rsidR="00A03B06" w:rsidRDefault="00A03B06" w:rsidP="007F109C">
            <w:r>
              <w:t>Channel</w:t>
            </w:r>
          </w:p>
        </w:tc>
        <w:tc>
          <w:tcPr>
            <w:tcW w:w="4675" w:type="dxa"/>
          </w:tcPr>
          <w:p w14:paraId="7D803802"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AWGN, TDL-C 300ns</w:t>
            </w:r>
          </w:p>
        </w:tc>
      </w:tr>
      <w:tr w:rsidR="00A03B06" w14:paraId="26034977"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0F28B6B" w14:textId="77777777" w:rsidR="00A03B06" w:rsidRDefault="00A03B06" w:rsidP="007F109C">
            <w:r>
              <w:t>Doppler</w:t>
            </w:r>
          </w:p>
        </w:tc>
        <w:tc>
          <w:tcPr>
            <w:tcW w:w="4675" w:type="dxa"/>
          </w:tcPr>
          <w:p w14:paraId="53DB7ACF"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r>
              <w:t>0</w:t>
            </w:r>
          </w:p>
        </w:tc>
      </w:tr>
      <w:tr w:rsidR="00A03B06" w14:paraId="28F922E6"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67263424" w14:textId="77777777" w:rsidR="00A03B06" w:rsidRDefault="00A03B06" w:rsidP="007F109C"/>
        </w:tc>
        <w:tc>
          <w:tcPr>
            <w:tcW w:w="4675" w:type="dxa"/>
          </w:tcPr>
          <w:p w14:paraId="3FAB4815" w14:textId="77777777" w:rsidR="00A03B06" w:rsidRDefault="00A03B06" w:rsidP="007F109C">
            <w:pPr>
              <w:cnfStyle w:val="000000000000" w:firstRow="0" w:lastRow="0" w:firstColumn="0" w:lastColumn="0" w:oddVBand="0" w:evenVBand="0" w:oddHBand="0" w:evenHBand="0" w:firstRowFirstColumn="0" w:firstRowLastColumn="0" w:lastRowFirstColumn="0" w:lastRowLastColumn="0"/>
            </w:pPr>
          </w:p>
        </w:tc>
      </w:tr>
      <w:tr w:rsidR="00A03B06" w14:paraId="2899A494"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78BCA027" w14:textId="77777777" w:rsidR="00A03B06" w:rsidRDefault="00A03B06" w:rsidP="007F109C">
            <w:r>
              <w:t>Receiver</w:t>
            </w:r>
          </w:p>
        </w:tc>
        <w:tc>
          <w:tcPr>
            <w:tcW w:w="4675" w:type="dxa"/>
          </w:tcPr>
          <w:p w14:paraId="7758E6C2" w14:textId="2E3D209B" w:rsidR="00A03B06" w:rsidRDefault="00A03B06" w:rsidP="007F109C">
            <w:pPr>
              <w:cnfStyle w:val="000000000000" w:firstRow="0" w:lastRow="0" w:firstColumn="0" w:lastColumn="0" w:oddVBand="0" w:evenVBand="0" w:oddHBand="0" w:evenHBand="0" w:firstRowFirstColumn="0" w:firstRowLastColumn="0" w:lastRowFirstColumn="0" w:lastRowLastColumn="0"/>
            </w:pPr>
            <w:r>
              <w:t>Energy Detector</w:t>
            </w:r>
          </w:p>
        </w:tc>
      </w:tr>
      <w:tr w:rsidR="00A03B06" w14:paraId="57E6036F" w14:textId="77777777" w:rsidTr="00A03B06">
        <w:tc>
          <w:tcPr>
            <w:cnfStyle w:val="001000000000" w:firstRow="0" w:lastRow="0" w:firstColumn="1" w:lastColumn="0" w:oddVBand="0" w:evenVBand="0" w:oddHBand="0" w:evenHBand="0" w:firstRowFirstColumn="0" w:firstRowLastColumn="0" w:lastRowFirstColumn="0" w:lastRowLastColumn="0"/>
            <w:tcW w:w="4675" w:type="dxa"/>
          </w:tcPr>
          <w:p w14:paraId="294B7E3C" w14:textId="77777777" w:rsidR="00A03B06" w:rsidRDefault="00A03B06" w:rsidP="007F109C">
            <w:r>
              <w:t>Payload</w:t>
            </w:r>
          </w:p>
        </w:tc>
        <w:tc>
          <w:tcPr>
            <w:tcW w:w="4675" w:type="dxa"/>
          </w:tcPr>
          <w:p w14:paraId="50368DAD" w14:textId="00CD3DCD" w:rsidR="00A03B06" w:rsidRDefault="00A03B06" w:rsidP="00A03B06">
            <w:pPr>
              <w:keepNext/>
              <w:cnfStyle w:val="000000000000" w:firstRow="0" w:lastRow="0" w:firstColumn="0" w:lastColumn="0" w:oddVBand="0" w:evenVBand="0" w:oddHBand="0" w:evenHBand="0" w:firstRowFirstColumn="0" w:firstRowLastColumn="0" w:lastRowFirstColumn="0" w:lastRowLastColumn="0"/>
            </w:pPr>
            <w:r>
              <w:t>3-12</w:t>
            </w:r>
            <w:r>
              <w:t xml:space="preserve"> bits</w:t>
            </w:r>
          </w:p>
        </w:tc>
      </w:tr>
    </w:tbl>
    <w:p w14:paraId="2A4361D1" w14:textId="3C990C8C" w:rsidR="00A03B06" w:rsidRDefault="00A03B06" w:rsidP="00A03B06">
      <w:pPr>
        <w:pStyle w:val="Caption"/>
        <w:jc w:val="center"/>
      </w:pPr>
      <w:bookmarkStart w:id="1" w:name="_Ref115427744"/>
      <w:r>
        <w:t xml:space="preserve">Table </w:t>
      </w:r>
      <w:r>
        <w:fldChar w:fldCharType="begin"/>
      </w:r>
      <w:r>
        <w:instrText xml:space="preserve"> SEQ Table \* ARABIC </w:instrText>
      </w:r>
      <w:r>
        <w:fldChar w:fldCharType="separate"/>
      </w:r>
      <w:r w:rsidR="001D2EAB">
        <w:rPr>
          <w:noProof/>
        </w:rPr>
        <w:t>1</w:t>
      </w:r>
      <w:r>
        <w:fldChar w:fldCharType="end"/>
      </w:r>
      <w:bookmarkEnd w:id="1"/>
      <w:r>
        <w:t>:</w:t>
      </w:r>
      <w:r w:rsidRPr="008D3D15">
        <w:t xml:space="preserve"> Link-Level simulation assumptions.</w:t>
      </w:r>
    </w:p>
    <w:p w14:paraId="7935475E" w14:textId="0F9AB848" w:rsidR="00F6142A" w:rsidRDefault="00F6142A" w:rsidP="00F6142A">
      <w:pPr>
        <w:pStyle w:val="Heading1"/>
        <w:numPr>
          <w:ilvl w:val="0"/>
          <w:numId w:val="8"/>
        </w:numPr>
      </w:pPr>
      <w:r>
        <w:t>Link-Level Simulation Results</w:t>
      </w:r>
    </w:p>
    <w:p w14:paraId="3156FC59" w14:textId="19FEC5F8" w:rsidR="002518B3" w:rsidRDefault="00EF793F" w:rsidP="00F6142A">
      <w:r>
        <w:t>In this section, we provide link level simulation results.</w:t>
      </w:r>
      <w:r w:rsidR="000746EA">
        <w:t xml:space="preserve"> </w:t>
      </w:r>
      <w:r w:rsidR="00504B3D">
        <w:t>Thes</w:t>
      </w:r>
      <w:r w:rsidR="002518B3">
        <w:t xml:space="preserve">e results are not intended for absolute reference but to show </w:t>
      </w:r>
      <w:r w:rsidR="00504B3D">
        <w:t>certain trade-offs in the choice of design parameters as well as to compare different WUS schemes.</w:t>
      </w:r>
      <w:r w:rsidR="003F485F">
        <w:t xml:space="preserve"> The reader is referred to our companion contributions [2] and [3] for more details on re</w:t>
      </w:r>
      <w:r w:rsidR="002E6092">
        <w:t>ceive algorithms and WUS design, respectively.</w:t>
      </w:r>
    </w:p>
    <w:p w14:paraId="4269FA59" w14:textId="182A4FD7" w:rsidR="00F6142A" w:rsidRDefault="00F6142A" w:rsidP="00F6142A">
      <w:pPr>
        <w:pStyle w:val="Heading2"/>
        <w:numPr>
          <w:ilvl w:val="1"/>
          <w:numId w:val="8"/>
        </w:numPr>
      </w:pPr>
      <w:r>
        <w:t>MC-OOK</w:t>
      </w:r>
    </w:p>
    <w:p w14:paraId="26E93AE0" w14:textId="308B59A3" w:rsidR="00EF793F" w:rsidRDefault="00EF793F" w:rsidP="00F6142A">
      <w:r>
        <w:t xml:space="preserve">In </w:t>
      </w:r>
      <w:r>
        <w:fldChar w:fldCharType="begin"/>
      </w:r>
      <w:r>
        <w:instrText xml:space="preserve"> REF _Ref115357216 \h </w:instrText>
      </w:r>
      <w:r>
        <w:fldChar w:fldCharType="separate"/>
      </w:r>
      <w:r w:rsidR="001D2EAB">
        <w:t xml:space="preserve">Figure </w:t>
      </w:r>
      <w:r w:rsidR="001D2EAB">
        <w:rPr>
          <w:noProof/>
        </w:rPr>
        <w:t>1</w:t>
      </w:r>
      <w:r>
        <w:fldChar w:fldCharType="end"/>
      </w:r>
      <w:r>
        <w:t xml:space="preserve">, we simulate the performance of multi-carrier OOK with various number of allocated sub-carriers </w:t>
      </w:r>
      <m:oMath>
        <m:r>
          <w:rPr>
            <w:rFonts w:ascii="Cambria Math" w:hAnsi="Cambria Math"/>
          </w:rPr>
          <m:t>K</m:t>
        </m:r>
      </m:oMath>
      <w:r>
        <w:rPr>
          <w:rFonts w:eastAsiaTheme="minorEastAsia"/>
        </w:rPr>
        <w:t xml:space="preserve"> and different receive algorithms. ED refers to energy/envelope detection, CD to coherent detection an</w:t>
      </w:r>
      <w:r w:rsidR="00A04FE6">
        <w:rPr>
          <w:rFonts w:eastAsiaTheme="minorEastAsia"/>
        </w:rPr>
        <w:t>d NCD to non-coherent detection, cf. [2].</w:t>
      </w:r>
    </w:p>
    <w:p w14:paraId="12DA769D" w14:textId="77777777" w:rsidR="00EF793F" w:rsidRDefault="00EF793F" w:rsidP="00EF793F">
      <w:pPr>
        <w:keepNext/>
      </w:pPr>
      <w:r>
        <w:rPr>
          <w:noProof/>
        </w:rPr>
        <w:drawing>
          <wp:inline distT="0" distB="0" distL="0" distR="0" wp14:anchorId="23D48A09" wp14:editId="12D6A164">
            <wp:extent cx="5943600" cy="3535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ook_awgn_various_K.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535680"/>
                    </a:xfrm>
                    <a:prstGeom prst="rect">
                      <a:avLst/>
                    </a:prstGeom>
                  </pic:spPr>
                </pic:pic>
              </a:graphicData>
            </a:graphic>
          </wp:inline>
        </w:drawing>
      </w:r>
    </w:p>
    <w:p w14:paraId="0A6EBE0A" w14:textId="2337B982" w:rsidR="00EF793F" w:rsidRDefault="00EF793F" w:rsidP="00EF793F">
      <w:pPr>
        <w:pStyle w:val="Caption"/>
        <w:jc w:val="center"/>
      </w:pPr>
      <w:bookmarkStart w:id="2" w:name="_Ref115357216"/>
      <w:r>
        <w:t xml:space="preserve">Figure </w:t>
      </w:r>
      <w:r>
        <w:fldChar w:fldCharType="begin"/>
      </w:r>
      <w:r>
        <w:instrText xml:space="preserve"> SEQ Figure \* ARABIC </w:instrText>
      </w:r>
      <w:r>
        <w:fldChar w:fldCharType="separate"/>
      </w:r>
      <w:r w:rsidR="001D2EAB">
        <w:rPr>
          <w:noProof/>
        </w:rPr>
        <w:t>1</w:t>
      </w:r>
      <w:r>
        <w:fldChar w:fldCharType="end"/>
      </w:r>
      <w:bookmarkEnd w:id="2"/>
      <w:r>
        <w:t>: MC-OOK, AWGN, 10 symbols</w:t>
      </w:r>
    </w:p>
    <w:p w14:paraId="453D6250" w14:textId="0151ACEB" w:rsidR="00EF793F" w:rsidRDefault="00EF793F" w:rsidP="00F6142A">
      <w:pPr>
        <w:rPr>
          <w:rFonts w:eastAsiaTheme="minorEastAsia"/>
        </w:rPr>
      </w:pPr>
      <w:r>
        <w:lastRenderedPageBreak/>
        <w:t xml:space="preserve">From </w:t>
      </w:r>
      <w:r>
        <w:fldChar w:fldCharType="begin"/>
      </w:r>
      <w:r>
        <w:instrText xml:space="preserve"> REF _Ref115357216 \h </w:instrText>
      </w:r>
      <w:r>
        <w:fldChar w:fldCharType="separate"/>
      </w:r>
      <w:r w:rsidR="001D2EAB">
        <w:t xml:space="preserve">Figure </w:t>
      </w:r>
      <w:r w:rsidR="001D2EAB">
        <w:rPr>
          <w:noProof/>
        </w:rPr>
        <w:t>1</w:t>
      </w:r>
      <w:r>
        <w:fldChar w:fldCharType="end"/>
      </w:r>
      <w:r>
        <w:t xml:space="preserve">, we observe that </w:t>
      </w:r>
      <m:oMath>
        <m:r>
          <w:rPr>
            <w:rFonts w:ascii="Cambria Math" w:hAnsi="Cambria Math"/>
          </w:rPr>
          <m:t>K</m:t>
        </m:r>
      </m:oMath>
      <w:r>
        <w:rPr>
          <w:rFonts w:eastAsiaTheme="minorEastAsia"/>
        </w:rPr>
        <w:t xml:space="preserve"> has a significant impact on the performance of the ED. Larger values of </w:t>
      </w:r>
      <m:oMath>
        <m:r>
          <w:rPr>
            <w:rFonts w:ascii="Cambria Math" w:eastAsiaTheme="minorEastAsia" w:hAnsi="Cambria Math"/>
          </w:rPr>
          <m:t>K</m:t>
        </m:r>
      </m:oMath>
      <w:r>
        <w:rPr>
          <w:rFonts w:eastAsiaTheme="minorEastAsia"/>
        </w:rPr>
        <w:t xml:space="preserve"> require wider filter BWs and hence more noise is captured. If all power is concentrated into a single sub-carrier, </w:t>
      </w:r>
      <m:oMath>
        <m:r>
          <w:rPr>
            <w:rFonts w:ascii="Cambria Math" w:eastAsiaTheme="minorEastAsia" w:hAnsi="Cambria Math"/>
          </w:rPr>
          <m:t>K=1</m:t>
        </m:r>
      </m:oMath>
      <w:r>
        <w:rPr>
          <w:rFonts w:eastAsiaTheme="minorEastAsia"/>
        </w:rPr>
        <w:t xml:space="preserve">, the performance is best since less noise is captured after filtering. </w:t>
      </w:r>
      <w:r w:rsidR="0073660F">
        <w:rPr>
          <w:rFonts w:eastAsiaTheme="minorEastAsia"/>
        </w:rPr>
        <w:t xml:space="preserve">This suggests that smaller values of </w:t>
      </w:r>
      <m:oMath>
        <m:r>
          <w:rPr>
            <w:rFonts w:ascii="Cambria Math" w:eastAsiaTheme="minorEastAsia" w:hAnsi="Cambria Math"/>
          </w:rPr>
          <m:t>K</m:t>
        </m:r>
      </m:oMath>
      <w:r w:rsidR="0073660F">
        <w:rPr>
          <w:rFonts w:eastAsiaTheme="minorEastAsia"/>
        </w:rPr>
        <w:t xml:space="preserve"> are to be preferred, however as it is shown in the next results for fading channels</w:t>
      </w:r>
      <w:r w:rsidR="00CA5D44">
        <w:rPr>
          <w:rFonts w:eastAsiaTheme="minorEastAsia"/>
        </w:rPr>
        <w:t xml:space="preserve"> (cf. </w:t>
      </w:r>
      <w:r w:rsidR="00CA5D44">
        <w:rPr>
          <w:rFonts w:eastAsiaTheme="minorEastAsia"/>
        </w:rPr>
        <w:fldChar w:fldCharType="begin"/>
      </w:r>
      <w:r w:rsidR="00CA5D44">
        <w:rPr>
          <w:rFonts w:eastAsiaTheme="minorEastAsia"/>
        </w:rPr>
        <w:instrText xml:space="preserve"> REF _Ref115358984 \h </w:instrText>
      </w:r>
      <w:r w:rsidR="00CA5D44">
        <w:rPr>
          <w:rFonts w:eastAsiaTheme="minorEastAsia"/>
        </w:rPr>
      </w:r>
      <w:r w:rsidR="00CA5D44">
        <w:rPr>
          <w:rFonts w:eastAsiaTheme="minorEastAsia"/>
        </w:rPr>
        <w:fldChar w:fldCharType="separate"/>
      </w:r>
      <w:r w:rsidR="001D2EAB">
        <w:t xml:space="preserve">Figure </w:t>
      </w:r>
      <w:r w:rsidR="001D2EAB">
        <w:rPr>
          <w:noProof/>
        </w:rPr>
        <w:t>3</w:t>
      </w:r>
      <w:r w:rsidR="00CA5D44">
        <w:rPr>
          <w:rFonts w:eastAsiaTheme="minorEastAsia"/>
        </w:rPr>
        <w:fldChar w:fldCharType="end"/>
      </w:r>
      <w:r w:rsidR="00CA5D44">
        <w:rPr>
          <w:rFonts w:eastAsiaTheme="minorEastAsia"/>
        </w:rPr>
        <w:t>)</w:t>
      </w:r>
      <w:r w:rsidR="0073660F">
        <w:rPr>
          <w:rFonts w:eastAsiaTheme="minorEastAsia"/>
        </w:rPr>
        <w:t xml:space="preserve">, small values of </w:t>
      </w:r>
      <m:oMath>
        <m:r>
          <w:rPr>
            <w:rFonts w:ascii="Cambria Math" w:eastAsiaTheme="minorEastAsia" w:hAnsi="Cambria Math"/>
          </w:rPr>
          <m:t>K</m:t>
        </m:r>
      </m:oMath>
      <w:r w:rsidR="0073660F">
        <w:rPr>
          <w:rFonts w:eastAsiaTheme="minorEastAsia"/>
        </w:rPr>
        <w:t xml:space="preserve"> are unable to captured the multi-path diversity.</w:t>
      </w:r>
    </w:p>
    <w:p w14:paraId="12054FF2" w14:textId="32B6643A" w:rsidR="00D74BED" w:rsidRDefault="00EF793F" w:rsidP="00F6142A">
      <w:r>
        <w:rPr>
          <w:rFonts w:eastAsiaTheme="minorEastAsia"/>
        </w:rPr>
        <w:t xml:space="preserve">On the other hand, CD and NCD are independent of </w:t>
      </w:r>
      <m:oMath>
        <m:r>
          <w:rPr>
            <w:rFonts w:ascii="Cambria Math" w:eastAsiaTheme="minorEastAsia" w:hAnsi="Cambria Math"/>
          </w:rPr>
          <m:t>K</m:t>
        </m:r>
      </m:oMath>
      <w:r>
        <w:rPr>
          <w:rFonts w:eastAsiaTheme="minorEastAsia"/>
        </w:rPr>
        <w:t xml:space="preserve">. </w:t>
      </w:r>
    </w:p>
    <w:p w14:paraId="478B6F62" w14:textId="4AAB2621" w:rsidR="00EF793F" w:rsidRDefault="00B866CC" w:rsidP="00F6142A">
      <w:r>
        <w:t xml:space="preserve">In </w:t>
      </w:r>
      <w:r>
        <w:fldChar w:fldCharType="begin"/>
      </w:r>
      <w:r>
        <w:instrText xml:space="preserve"> REF _Ref115358067 \h </w:instrText>
      </w:r>
      <w:r>
        <w:fldChar w:fldCharType="separate"/>
      </w:r>
      <w:r w:rsidR="001D2EAB">
        <w:t xml:space="preserve">Figure </w:t>
      </w:r>
      <w:r w:rsidR="001D2EAB">
        <w:rPr>
          <w:noProof/>
        </w:rPr>
        <w:t>2</w:t>
      </w:r>
      <w:r>
        <w:fldChar w:fldCharType="end"/>
      </w:r>
      <w:r>
        <w:t xml:space="preserve">, we fix </w:t>
      </w:r>
      <m:oMath>
        <m:r>
          <w:rPr>
            <w:rFonts w:ascii="Cambria Math" w:hAnsi="Cambria Math"/>
          </w:rPr>
          <m:t>K=64</m:t>
        </m:r>
      </m:oMath>
      <w:r>
        <w:rPr>
          <w:rFonts w:eastAsiaTheme="minorEastAsia"/>
        </w:rPr>
        <w:t xml:space="preserve"> and apply a rate </w:t>
      </w:r>
      <m:oMath>
        <m:r>
          <w:rPr>
            <w:rFonts w:ascii="Cambria Math" w:eastAsiaTheme="minorEastAsia" w:hAnsi="Cambria Math"/>
          </w:rPr>
          <m:t>R=1/2</m:t>
        </m:r>
      </m:oMath>
      <w:r>
        <w:rPr>
          <w:rFonts w:eastAsiaTheme="minorEastAsia"/>
        </w:rPr>
        <w:t xml:space="preserve"> Manchester code to explore the impact on the receiver performance. Instead of threshold detection, the ED compares the power of the 2 encoded bits.</w:t>
      </w:r>
    </w:p>
    <w:p w14:paraId="54A9DD9B" w14:textId="77777777" w:rsidR="00B866CC" w:rsidRDefault="00B866CC" w:rsidP="00B866CC">
      <w:pPr>
        <w:keepNext/>
      </w:pPr>
      <w:r>
        <w:rPr>
          <w:noProof/>
        </w:rPr>
        <w:drawing>
          <wp:inline distT="0" distB="0" distL="0" distR="0" wp14:anchorId="236060D1" wp14:editId="151628F3">
            <wp:extent cx="5943600" cy="3719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c_ook_awgn_manchester.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3719830"/>
                    </a:xfrm>
                    <a:prstGeom prst="rect">
                      <a:avLst/>
                    </a:prstGeom>
                  </pic:spPr>
                </pic:pic>
              </a:graphicData>
            </a:graphic>
          </wp:inline>
        </w:drawing>
      </w:r>
    </w:p>
    <w:p w14:paraId="3D25C828" w14:textId="715A30DF" w:rsidR="0073660F" w:rsidRPr="00F6142A" w:rsidRDefault="00B866CC" w:rsidP="00B866CC">
      <w:pPr>
        <w:pStyle w:val="Caption"/>
        <w:jc w:val="center"/>
      </w:pPr>
      <w:bookmarkStart w:id="3" w:name="_Ref115358067"/>
      <w:r>
        <w:t xml:space="preserve">Figure </w:t>
      </w:r>
      <w:r>
        <w:fldChar w:fldCharType="begin"/>
      </w:r>
      <w:r>
        <w:instrText xml:space="preserve"> SEQ Figure \* ARABIC </w:instrText>
      </w:r>
      <w:r>
        <w:fldChar w:fldCharType="separate"/>
      </w:r>
      <w:r w:rsidR="001D2EAB">
        <w:rPr>
          <w:noProof/>
        </w:rPr>
        <w:t>2</w:t>
      </w:r>
      <w:r>
        <w:fldChar w:fldCharType="end"/>
      </w:r>
      <w:bookmarkEnd w:id="3"/>
      <w:r>
        <w:t>: MC-OOK, AWGN, 10 symbols</w:t>
      </w:r>
      <w:r>
        <w:rPr>
          <w:noProof/>
        </w:rPr>
        <w:t>, Manchester code R=1/2</w:t>
      </w:r>
    </w:p>
    <w:p w14:paraId="41D128E3" w14:textId="3D992651" w:rsidR="00F6142A" w:rsidRDefault="00B866CC" w:rsidP="00F6142A">
      <w:r>
        <w:t xml:space="preserve">From </w:t>
      </w:r>
      <w:r>
        <w:fldChar w:fldCharType="begin"/>
      </w:r>
      <w:r>
        <w:instrText xml:space="preserve"> REF _Ref115358067 \h </w:instrText>
      </w:r>
      <w:r>
        <w:fldChar w:fldCharType="separate"/>
      </w:r>
      <w:r w:rsidR="001D2EAB">
        <w:t xml:space="preserve">Figure </w:t>
      </w:r>
      <w:r w:rsidR="001D2EAB">
        <w:rPr>
          <w:noProof/>
        </w:rPr>
        <w:t>2</w:t>
      </w:r>
      <w:r>
        <w:fldChar w:fldCharType="end"/>
      </w:r>
      <w:r>
        <w:t>, we observe that the performance of ED</w:t>
      </w:r>
      <w:r w:rsidR="002F3460">
        <w:t xml:space="preserve"> (ED-MC)</w:t>
      </w:r>
      <w:r>
        <w:t xml:space="preserve"> significantly improves compared to threshold detection </w:t>
      </w:r>
      <w:r w:rsidR="002F3460">
        <w:t>(ED), about 4.8dB resulting from a SNR gain of 3dB, since double the power is transmitted, as well as a gain due to improved detection. Both CD and NCD only achieve the 3dB power gain.</w:t>
      </w:r>
    </w:p>
    <w:p w14:paraId="3C3D545F" w14:textId="343DF205" w:rsidR="00E2278D" w:rsidRDefault="00E2278D" w:rsidP="00F6142A">
      <w:r>
        <w:t>We conclude that Manchester coding significantly increases the performance of ED and avoids complex threshold detection which depends also on the channel.</w:t>
      </w:r>
    </w:p>
    <w:p w14:paraId="477A7AE4" w14:textId="7AC9BD50" w:rsidR="00970EFA" w:rsidRPr="00970EFA" w:rsidRDefault="00970EFA" w:rsidP="00F6142A">
      <w:pPr>
        <w:rPr>
          <w:b/>
        </w:rPr>
      </w:pPr>
      <w:r w:rsidRPr="00970EFA">
        <w:rPr>
          <w:b/>
        </w:rPr>
        <w:t>Observation</w:t>
      </w:r>
      <w:r w:rsidR="001D2EAB">
        <w:rPr>
          <w:b/>
        </w:rPr>
        <w:t xml:space="preserve"> 1</w:t>
      </w:r>
      <w:r w:rsidRPr="00970EFA">
        <w:rPr>
          <w:b/>
        </w:rPr>
        <w:t>: Manchester coding significantly improves performance of ED.</w:t>
      </w:r>
    </w:p>
    <w:p w14:paraId="11DD251C" w14:textId="67E573BE" w:rsidR="00E2278D" w:rsidRDefault="00361BA6" w:rsidP="00F6142A">
      <w:r>
        <w:t xml:space="preserve">In </w:t>
      </w:r>
      <w:r>
        <w:fldChar w:fldCharType="begin"/>
      </w:r>
      <w:r>
        <w:instrText xml:space="preserve"> REF _Ref115358984 \h </w:instrText>
      </w:r>
      <w:r>
        <w:fldChar w:fldCharType="separate"/>
      </w:r>
      <w:r w:rsidR="001D2EAB">
        <w:t xml:space="preserve">Figure </w:t>
      </w:r>
      <w:r w:rsidR="001D2EAB">
        <w:rPr>
          <w:noProof/>
        </w:rPr>
        <w:t>3</w:t>
      </w:r>
      <w:r>
        <w:fldChar w:fldCharType="end"/>
      </w:r>
      <w:r>
        <w:t xml:space="preserve">, we compare the performance of the different receivers and </w:t>
      </w:r>
      <m:oMath>
        <m:r>
          <w:rPr>
            <w:rFonts w:ascii="Cambria Math" w:hAnsi="Cambria Math"/>
          </w:rPr>
          <m:t>K=12, 64</m:t>
        </m:r>
      </m:oMath>
      <w:r>
        <w:rPr>
          <w:rFonts w:eastAsiaTheme="minorEastAsia"/>
        </w:rPr>
        <w:t xml:space="preserve"> for the TDL-C channel with 300ns delay spread.</w:t>
      </w:r>
    </w:p>
    <w:p w14:paraId="48B12B0F" w14:textId="77777777" w:rsidR="004D2503" w:rsidRDefault="004D2503" w:rsidP="004D2503">
      <w:pPr>
        <w:keepNext/>
      </w:pPr>
      <w:r>
        <w:rPr>
          <w:noProof/>
        </w:rPr>
        <w:lastRenderedPageBreak/>
        <w:drawing>
          <wp:inline distT="0" distB="0" distL="0" distR="0" wp14:anchorId="54CEC1B9" wp14:editId="6E7683CC">
            <wp:extent cx="5943600" cy="3439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c_ook_tdlc_manchest.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439795"/>
                    </a:xfrm>
                    <a:prstGeom prst="rect">
                      <a:avLst/>
                    </a:prstGeom>
                  </pic:spPr>
                </pic:pic>
              </a:graphicData>
            </a:graphic>
          </wp:inline>
        </w:drawing>
      </w:r>
    </w:p>
    <w:p w14:paraId="0382BD2E" w14:textId="5AEE2E6E" w:rsidR="004D2503" w:rsidRDefault="004D2503" w:rsidP="004D2503">
      <w:pPr>
        <w:pStyle w:val="Caption"/>
        <w:jc w:val="center"/>
      </w:pPr>
      <w:bookmarkStart w:id="4" w:name="_Ref115358984"/>
      <w:r>
        <w:t xml:space="preserve">Figure </w:t>
      </w:r>
      <w:r>
        <w:fldChar w:fldCharType="begin"/>
      </w:r>
      <w:r>
        <w:instrText xml:space="preserve"> SEQ Figure \* ARABIC </w:instrText>
      </w:r>
      <w:r>
        <w:fldChar w:fldCharType="separate"/>
      </w:r>
      <w:r w:rsidR="001D2EAB">
        <w:rPr>
          <w:noProof/>
        </w:rPr>
        <w:t>3</w:t>
      </w:r>
      <w:r>
        <w:fldChar w:fldCharType="end"/>
      </w:r>
      <w:bookmarkEnd w:id="4"/>
      <w:r>
        <w:t>: MC-OOK, TDL-C 300ns, 10 symbols, Manchester code R=1/2.</w:t>
      </w:r>
    </w:p>
    <w:p w14:paraId="5577BE95" w14:textId="78A8EF80" w:rsidR="00B866CC" w:rsidRDefault="00361BA6" w:rsidP="00F6142A">
      <w:pPr>
        <w:rPr>
          <w:rFonts w:eastAsiaTheme="minorEastAsia"/>
        </w:rPr>
      </w:pPr>
      <w:r>
        <w:t xml:space="preserve">From </w:t>
      </w:r>
      <w:r>
        <w:fldChar w:fldCharType="begin"/>
      </w:r>
      <w:r>
        <w:instrText xml:space="preserve"> REF _Ref115358984 \h </w:instrText>
      </w:r>
      <w:r>
        <w:fldChar w:fldCharType="separate"/>
      </w:r>
      <w:r w:rsidR="001D2EAB">
        <w:t xml:space="preserve">Figure </w:t>
      </w:r>
      <w:r w:rsidR="001D2EAB">
        <w:rPr>
          <w:noProof/>
        </w:rPr>
        <w:t>3</w:t>
      </w:r>
      <w:r>
        <w:fldChar w:fldCharType="end"/>
      </w:r>
      <w:r>
        <w:t xml:space="preserve">, </w:t>
      </w:r>
      <m:oMath>
        <m:r>
          <w:rPr>
            <w:rFonts w:ascii="Cambria Math" w:hAnsi="Cambria Math"/>
          </w:rPr>
          <m:t>K=64</m:t>
        </m:r>
      </m:oMath>
      <w:r>
        <w:rPr>
          <w:rFonts w:eastAsiaTheme="minorEastAsia"/>
        </w:rPr>
        <w:t xml:space="preserve"> has better performance than </w:t>
      </w:r>
      <m:oMath>
        <m:r>
          <w:rPr>
            <w:rFonts w:ascii="Cambria Math" w:eastAsiaTheme="minorEastAsia" w:hAnsi="Cambria Math"/>
          </w:rPr>
          <m:t>K=12</m:t>
        </m:r>
      </m:oMath>
      <w:r>
        <w:rPr>
          <w:rFonts w:eastAsiaTheme="minorEastAsia"/>
        </w:rPr>
        <w:t xml:space="preserve">, because more multi-path diversity can be exploited. For low SNR, the ED with </w:t>
      </w:r>
      <m:oMath>
        <m:r>
          <w:rPr>
            <w:rFonts w:ascii="Cambria Math" w:eastAsiaTheme="minorEastAsia" w:hAnsi="Cambria Math"/>
          </w:rPr>
          <m:t>K=12</m:t>
        </m:r>
      </m:oMath>
      <w:r>
        <w:rPr>
          <w:rFonts w:eastAsiaTheme="minorEastAsia"/>
        </w:rPr>
        <w:t xml:space="preserve"> outpeforms </w:t>
      </w:r>
      <m:oMath>
        <m:r>
          <w:rPr>
            <w:rFonts w:ascii="Cambria Math" w:eastAsiaTheme="minorEastAsia" w:hAnsi="Cambria Math"/>
          </w:rPr>
          <m:t>K=64</m:t>
        </m:r>
      </m:oMath>
      <w:r>
        <w:rPr>
          <w:rFonts w:eastAsiaTheme="minorEastAsia"/>
        </w:rPr>
        <w:t xml:space="preserve">, since in that region the noise is dominant and </w:t>
      </w:r>
      <m:oMath>
        <m:r>
          <w:rPr>
            <w:rFonts w:ascii="Cambria Math" w:eastAsiaTheme="minorEastAsia" w:hAnsi="Cambria Math"/>
          </w:rPr>
          <m:t>K=12</m:t>
        </m:r>
      </m:oMath>
      <w:r>
        <w:rPr>
          <w:rFonts w:eastAsiaTheme="minorEastAsia"/>
        </w:rPr>
        <w:t xml:space="preserve"> rejects more noise due to the narrower filter. However, for higher SNR the diversity gain of </w:t>
      </w:r>
      <m:oMath>
        <m:r>
          <w:rPr>
            <w:rFonts w:ascii="Cambria Math" w:eastAsiaTheme="minorEastAsia" w:hAnsi="Cambria Math"/>
          </w:rPr>
          <m:t>K=64</m:t>
        </m:r>
      </m:oMath>
      <w:r>
        <w:rPr>
          <w:rFonts w:eastAsiaTheme="minorEastAsia"/>
        </w:rPr>
        <w:t xml:space="preserve"> outweighs the SNR gain of </w:t>
      </w:r>
      <m:oMath>
        <m:r>
          <w:rPr>
            <w:rFonts w:ascii="Cambria Math" w:eastAsiaTheme="minorEastAsia" w:hAnsi="Cambria Math"/>
          </w:rPr>
          <m:t>K=12</m:t>
        </m:r>
      </m:oMath>
      <w:r>
        <w:rPr>
          <w:rFonts w:eastAsiaTheme="minorEastAsia"/>
        </w:rPr>
        <w:t>.</w:t>
      </w:r>
    </w:p>
    <w:p w14:paraId="3896037D" w14:textId="783A93B3" w:rsidR="00970EFA" w:rsidRPr="00970EFA" w:rsidRDefault="00970EFA" w:rsidP="00F6142A">
      <w:pPr>
        <w:rPr>
          <w:b/>
        </w:rPr>
      </w:pPr>
      <w:r w:rsidRPr="00970EFA">
        <w:rPr>
          <w:rFonts w:eastAsiaTheme="minorEastAsia"/>
          <w:b/>
        </w:rPr>
        <w:t>Observation</w:t>
      </w:r>
      <w:r w:rsidR="001D2EAB">
        <w:rPr>
          <w:rFonts w:eastAsiaTheme="minorEastAsia"/>
          <w:b/>
        </w:rPr>
        <w:t xml:space="preserve"> 2</w:t>
      </w:r>
      <w:r w:rsidRPr="00970EFA">
        <w:rPr>
          <w:rFonts w:eastAsiaTheme="minorEastAsia"/>
          <w:b/>
        </w:rPr>
        <w:t>: For MC-OOK, the number of allocated sub-carriers is a trade-off between SNR gain and multi-path diversity gain.</w:t>
      </w:r>
    </w:p>
    <w:p w14:paraId="737F5765" w14:textId="3D1D718D" w:rsidR="00361BA6" w:rsidRDefault="00361BA6" w:rsidP="00F6142A"/>
    <w:p w14:paraId="2D99F255" w14:textId="79CE7009" w:rsidR="00556927" w:rsidRDefault="00556927" w:rsidP="00556927">
      <w:pPr>
        <w:pStyle w:val="Heading2"/>
        <w:numPr>
          <w:ilvl w:val="1"/>
          <w:numId w:val="8"/>
        </w:numPr>
      </w:pPr>
      <w:r>
        <w:t>DFT-precoded MC-OOK</w:t>
      </w:r>
    </w:p>
    <w:p w14:paraId="7FAD10F6" w14:textId="55267E0D" w:rsidR="00F40EFF" w:rsidRPr="00F40EFF" w:rsidRDefault="00F40EFF" w:rsidP="00F40EFF">
      <w:r>
        <w:t>In this section we evaluate the proposed DFT-precoded MC-OOK, [3], where multiple bits are transmitted per OFDM symbol.</w:t>
      </w:r>
    </w:p>
    <w:p w14:paraId="35F6A103" w14:textId="5F4B37FB" w:rsidR="00900AB9" w:rsidRDefault="006A364D" w:rsidP="00556927">
      <w:r>
        <w:fldChar w:fldCharType="begin"/>
      </w:r>
      <w:r>
        <w:instrText xml:space="preserve"> REF _Ref115361416 \h </w:instrText>
      </w:r>
      <w:r>
        <w:fldChar w:fldCharType="separate"/>
      </w:r>
      <w:r w:rsidR="001D2EAB">
        <w:t xml:space="preserve">Figure </w:t>
      </w:r>
      <w:r w:rsidR="001D2EAB">
        <w:rPr>
          <w:noProof/>
        </w:rPr>
        <w:t>4</w:t>
      </w:r>
      <w:r>
        <w:fldChar w:fldCharType="end"/>
      </w:r>
      <w:r>
        <w:t xml:space="preserve"> shows the performance of ED for DFT-precoded MC-OOK for various code rates. </w:t>
      </w:r>
      <w:r w:rsidR="00900AB9">
        <w:t xml:space="preserve">Rate </w:t>
      </w:r>
      <m:oMath>
        <m:r>
          <w:rPr>
            <w:rFonts w:ascii="Cambria Math" w:hAnsi="Cambria Math"/>
          </w:rPr>
          <m:t>R=1/2</m:t>
        </m:r>
      </m:oMath>
      <w:r w:rsidR="00900AB9">
        <w:rPr>
          <w:rFonts w:eastAsiaTheme="minorEastAsia"/>
        </w:rPr>
        <w:t xml:space="preserve"> refers to conventional Manchester coding where one bit is encoded into 2 bits. </w:t>
      </w:r>
      <m:oMath>
        <m:r>
          <w:rPr>
            <w:rFonts w:ascii="Cambria Math" w:hAnsi="Cambria Math"/>
          </w:rPr>
          <m:t>R=2/4</m:t>
        </m:r>
      </m:oMath>
      <w:r w:rsidR="00900AB9">
        <w:rPr>
          <w:rFonts w:eastAsiaTheme="minorEastAsia"/>
        </w:rPr>
        <w:t xml:space="preserve"> has the same code rate but denotes that 2 bits are encoded into 4 bits.</w:t>
      </w:r>
    </w:p>
    <w:p w14:paraId="0FA8DC1F" w14:textId="429EF719" w:rsidR="006A364D" w:rsidRDefault="006A364D" w:rsidP="00556927">
      <w:r>
        <w:t xml:space="preserve">As expected, there is a 3dB gain of </w:t>
      </w:r>
      <m:oMath>
        <m:r>
          <w:rPr>
            <w:rFonts w:ascii="Cambria Math" w:hAnsi="Cambria Math"/>
          </w:rPr>
          <m:t>R=2/4</m:t>
        </m:r>
      </m:oMath>
      <w:r>
        <w:rPr>
          <w:rFonts w:eastAsiaTheme="minorEastAsia"/>
        </w:rPr>
        <w:t xml:space="preserve"> compared to </w:t>
      </w:r>
      <m:oMath>
        <m:r>
          <w:rPr>
            <w:rFonts w:ascii="Cambria Math" w:eastAsiaTheme="minorEastAsia" w:hAnsi="Cambria Math"/>
          </w:rPr>
          <m:t>R=1/2</m:t>
        </m:r>
      </m:oMath>
      <w:r>
        <w:rPr>
          <w:rFonts w:eastAsiaTheme="minorEastAsia"/>
        </w:rPr>
        <w:t xml:space="preserve">. Further decreasing the code rate to </w:t>
      </w:r>
      <m:oMath>
        <m:r>
          <w:rPr>
            <w:rFonts w:ascii="Cambria Math" w:eastAsiaTheme="minorEastAsia" w:hAnsi="Cambria Math"/>
          </w:rPr>
          <m:t>R=3/8</m:t>
        </m:r>
      </m:oMath>
      <w:r>
        <w:rPr>
          <w:rFonts w:eastAsiaTheme="minorEastAsia"/>
        </w:rPr>
        <w:t xml:space="preserve"> achieves a gain of 3.3dB (power gain plus coding gain). For comparison, if we decrease the number of SCs per coded bit</w:t>
      </w:r>
      <w:r w:rsidR="00900AB9">
        <w:rPr>
          <w:rFonts w:eastAsiaTheme="minorEastAsia"/>
        </w:rPr>
        <w:t xml:space="preserve"> from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r>
          <w:rPr>
            <w:rFonts w:ascii="Cambria Math" w:eastAsiaTheme="minorEastAsia" w:hAnsi="Cambria Math"/>
          </w:rPr>
          <m:t>=8</m:t>
        </m:r>
      </m:oMath>
      <w:r>
        <w:rPr>
          <w:rFonts w:eastAsiaTheme="minorEastAsia"/>
        </w:rPr>
        <w:t xml:space="preserve"> to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B</m:t>
            </m:r>
          </m:sub>
        </m:sSub>
        <m:r>
          <w:rPr>
            <w:rFonts w:ascii="Cambria Math" w:eastAsiaTheme="minorEastAsia" w:hAnsi="Cambria Math"/>
          </w:rPr>
          <m:t>=4</m:t>
        </m:r>
      </m:oMath>
      <w:r>
        <w:rPr>
          <w:rFonts w:eastAsiaTheme="minorEastAsia"/>
        </w:rPr>
        <w:t xml:space="preserve">, the performance loss is significant since the diversity of the channel cannot be exploited. </w:t>
      </w:r>
    </w:p>
    <w:p w14:paraId="338DC3C6" w14:textId="609C4EC1" w:rsidR="006A364D" w:rsidRDefault="006A364D" w:rsidP="00556927"/>
    <w:p w14:paraId="11FEDA1D" w14:textId="77777777" w:rsidR="006A364D" w:rsidRDefault="006A364D" w:rsidP="006A364D">
      <w:pPr>
        <w:keepNext/>
      </w:pPr>
      <w:r>
        <w:rPr>
          <w:noProof/>
        </w:rPr>
        <w:lastRenderedPageBreak/>
        <w:drawing>
          <wp:inline distT="0" distB="0" distL="0" distR="0" wp14:anchorId="04F1FC88" wp14:editId="6E487833">
            <wp:extent cx="5943600" cy="3232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FT-MC-OOK_tdlc_R.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3232150"/>
                    </a:xfrm>
                    <a:prstGeom prst="rect">
                      <a:avLst/>
                    </a:prstGeom>
                  </pic:spPr>
                </pic:pic>
              </a:graphicData>
            </a:graphic>
          </wp:inline>
        </w:drawing>
      </w:r>
    </w:p>
    <w:p w14:paraId="67863B6C" w14:textId="27E7EFCF" w:rsidR="006A364D" w:rsidRPr="00556927" w:rsidRDefault="006A364D" w:rsidP="006A364D">
      <w:pPr>
        <w:pStyle w:val="Caption"/>
        <w:jc w:val="center"/>
      </w:pPr>
      <w:bookmarkStart w:id="5" w:name="_Ref115361416"/>
      <w:r>
        <w:t xml:space="preserve">Figure </w:t>
      </w:r>
      <w:r>
        <w:fldChar w:fldCharType="begin"/>
      </w:r>
      <w:r>
        <w:instrText xml:space="preserve"> SEQ Figure \* ARABIC </w:instrText>
      </w:r>
      <w:r>
        <w:fldChar w:fldCharType="separate"/>
      </w:r>
      <w:r w:rsidR="001D2EAB">
        <w:rPr>
          <w:noProof/>
        </w:rPr>
        <w:t>4</w:t>
      </w:r>
      <w:r>
        <w:fldChar w:fldCharType="end"/>
      </w:r>
      <w:bookmarkEnd w:id="5"/>
      <w:r>
        <w:t xml:space="preserve">: DFT-precoded MC-OOK, TDL-C 300ns, 1 symbol, different coding schemes, K=64, </w:t>
      </w:r>
      <m:oMath>
        <m:sSub>
          <m:sSubPr>
            <m:ctrlPr>
              <w:rPr>
                <w:rFonts w:ascii="Cambria Math" w:hAnsi="Cambria Math"/>
              </w:rPr>
            </m:ctrlPr>
          </m:sSubPr>
          <m:e>
            <m:r>
              <w:rPr>
                <w:rFonts w:ascii="Cambria Math" w:hAnsi="Cambria Math"/>
              </w:rPr>
              <m:t>K</m:t>
            </m:r>
          </m:e>
          <m:sub>
            <m:r>
              <w:rPr>
                <w:rFonts w:ascii="Cambria Math" w:hAnsi="Cambria Math"/>
              </w:rPr>
              <m:t>B</m:t>
            </m:r>
          </m:sub>
        </m:sSub>
        <m:r>
          <w:rPr>
            <w:rFonts w:ascii="Cambria Math" w:eastAsiaTheme="minorEastAsia" w:hAnsi="Cambria Math"/>
          </w:rPr>
          <m:t>=8</m:t>
        </m:r>
      </m:oMath>
      <w:r>
        <w:rPr>
          <w:rFonts w:eastAsiaTheme="minorEastAsia"/>
        </w:rPr>
        <w:t>.</w:t>
      </w:r>
    </w:p>
    <w:p w14:paraId="28C1CD73" w14:textId="677A4AA1" w:rsidR="00361BA6" w:rsidRDefault="00361BA6" w:rsidP="00F6142A"/>
    <w:p w14:paraId="598DE671" w14:textId="0B6075C8" w:rsidR="00900AB9" w:rsidRPr="00900AB9" w:rsidRDefault="00900AB9" w:rsidP="00F6142A">
      <w:pPr>
        <w:rPr>
          <w:b/>
        </w:rPr>
      </w:pPr>
      <w:r w:rsidRPr="00900AB9">
        <w:rPr>
          <w:b/>
        </w:rPr>
        <w:t>Observation</w:t>
      </w:r>
      <w:r w:rsidR="001D2EAB">
        <w:rPr>
          <w:b/>
        </w:rPr>
        <w:t xml:space="preserve"> 3</w:t>
      </w:r>
      <w:r w:rsidRPr="00900AB9">
        <w:rPr>
          <w:b/>
        </w:rPr>
        <w:t>: Jointly encoding multiple bits results in significant performance gain.</w:t>
      </w:r>
    </w:p>
    <w:p w14:paraId="5145FE7F" w14:textId="6290DB45" w:rsidR="0088232D" w:rsidRDefault="0088232D" w:rsidP="00AF250B">
      <w:pPr>
        <w:pStyle w:val="Heading2"/>
        <w:numPr>
          <w:ilvl w:val="1"/>
          <w:numId w:val="8"/>
        </w:numPr>
      </w:pPr>
      <w:r>
        <w:t xml:space="preserve">DFT-precoded MC-OOK with </w:t>
      </w:r>
      <w:r w:rsidR="00AF250B">
        <w:t>overlay code in time-domain</w:t>
      </w:r>
    </w:p>
    <w:p w14:paraId="32C16EB4" w14:textId="06CD11DC" w:rsidR="00900AB9" w:rsidRDefault="00A21663" w:rsidP="00F6142A">
      <w:r>
        <w:t xml:space="preserve">In </w:t>
      </w:r>
      <w:r>
        <w:fldChar w:fldCharType="begin"/>
      </w:r>
      <w:r>
        <w:instrText xml:space="preserve"> REF _Ref115364522 \h </w:instrText>
      </w:r>
      <w:r>
        <w:fldChar w:fldCharType="separate"/>
      </w:r>
      <w:r w:rsidR="001D2EAB">
        <w:t xml:space="preserve">Figure </w:t>
      </w:r>
      <w:r w:rsidR="001D2EAB">
        <w:rPr>
          <w:noProof/>
        </w:rPr>
        <w:t>5</w:t>
      </w:r>
      <w:r>
        <w:fldChar w:fldCharType="end"/>
      </w:r>
      <w:r>
        <w:t xml:space="preserve"> we compare the performance of DFT-precoded MC-OOK with the vertical-horizontal coding strategy presented in [</w:t>
      </w:r>
      <w:r w:rsidR="00900AB9">
        <w:t>3</w:t>
      </w:r>
      <w:r>
        <w:t xml:space="preserve">]. Here, we fix the payload to 12 bits over 12 symbols. </w:t>
      </w:r>
      <w:r w:rsidR="0011063D">
        <w:t xml:space="preserve">For </w:t>
      </w:r>
      <w:r w:rsidR="0011063D">
        <w:t>DFT-precoded MC-OOK</w:t>
      </w:r>
      <w:r w:rsidR="0011063D">
        <w:t xml:space="preserve"> we encode 3 bits per symbol and repeat that symbol three times. The VH-code uses the same encoding as the </w:t>
      </w:r>
      <w:r w:rsidR="0011063D">
        <w:t>DFT-precoded MC-OOK</w:t>
      </w:r>
      <w:r w:rsidR="0011063D">
        <w:t xml:space="preserve"> but additionally encode 3 bits through different sequences. We use cyclically shifted Zadoff-Chu sequences in this example. Moreover, 6 bits are encoded in time-domain via a non-coherent overlay code which encodes 6</w:t>
      </w:r>
      <w:r w:rsidR="00900AB9">
        <w:t xml:space="preserve"> bits into 12 complex symbols. The generator matrix</w:t>
      </w:r>
      <w:r w:rsidR="00690444">
        <w:t xml:space="preserve"> </w:t>
      </w:r>
      <m:oMath>
        <m:r>
          <m:rPr>
            <m:sty m:val="bi"/>
          </m:rPr>
          <w:rPr>
            <w:rFonts w:ascii="Cambria Math" w:hAnsi="Cambria Math"/>
          </w:rPr>
          <m:t>G</m:t>
        </m:r>
      </m:oMath>
      <w:r w:rsidR="00900AB9">
        <w:t xml:space="preserve"> </w:t>
      </w:r>
      <w:r w:rsidR="00690444">
        <w:t xml:space="preserve">in GF4 </w:t>
      </w:r>
      <w:r w:rsidR="00900AB9">
        <w:t>is given by</w:t>
      </w:r>
    </w:p>
    <w:p w14:paraId="2E73E155" w14:textId="6235C8BE" w:rsidR="0088232D" w:rsidRPr="00690444" w:rsidRDefault="00690444" w:rsidP="00F6142A">
      <w:pPr>
        <w:rPr>
          <w:rFonts w:eastAsiaTheme="minorEastAsia"/>
        </w:rPr>
      </w:pPr>
      <m:oMathPara>
        <m:oMath>
          <m:r>
            <m:rPr>
              <m:sty m:val="bi"/>
            </m:rPr>
            <w:rPr>
              <w:rFonts w:ascii="Cambria Math" w:hAnsi="Cambria Math"/>
            </w:rPr>
            <m:t>G</m:t>
          </m:r>
          <m:r>
            <w:rPr>
              <w:rFonts w:ascii="Cambria Math" w:hAnsi="Cambria Math"/>
            </w:rPr>
            <m:t xml:space="preserve">= </m:t>
          </m:r>
          <m:d>
            <m:dPr>
              <m:begChr m:val="["/>
              <m:endChr m:val="]"/>
              <m:ctrlPr>
                <w:rPr>
                  <w:rFonts w:ascii="Cambria Math" w:hAnsi="Cambria Math"/>
                  <w:i/>
                </w:rPr>
              </m:ctrlPr>
            </m:dPr>
            <m:e>
              <m:m>
                <m:mPr>
                  <m:mcs>
                    <m:mc>
                      <m:mcPr>
                        <m:count m:val="12"/>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3</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3</m:t>
                    </m:r>
                  </m:e>
                </m:mr>
              </m:m>
            </m:e>
          </m:d>
        </m:oMath>
      </m:oMathPara>
    </w:p>
    <w:p w14:paraId="6A2C8792" w14:textId="008CA420" w:rsidR="00690444" w:rsidRDefault="00690444" w:rsidP="00F6142A">
      <w:pPr>
        <w:rPr>
          <w:rFonts w:eastAsiaTheme="minorEastAsia"/>
        </w:rPr>
      </w:pPr>
      <w:r>
        <w:rPr>
          <w:rFonts w:eastAsiaTheme="minorEastAsia"/>
        </w:rPr>
        <w:t>The complex</w:t>
      </w:r>
      <w:r w:rsidR="009437E9">
        <w:rPr>
          <w:rFonts w:eastAsiaTheme="minorEastAsia"/>
        </w:rPr>
        <w:t xml:space="preserve"> modulated</w:t>
      </w:r>
      <w:r>
        <w:rPr>
          <w:rFonts w:eastAsiaTheme="minorEastAsia"/>
        </w:rPr>
        <w:t xml:space="preserve"> codeword entries</w:t>
      </w:r>
      <w:r w:rsidR="009437E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mn</m:t>
            </m:r>
          </m:sub>
        </m:sSub>
      </m:oMath>
      <w:r>
        <w:rPr>
          <w:rFonts w:eastAsiaTheme="minorEastAsia"/>
        </w:rPr>
        <w:t xml:space="preserve"> are generate as</w:t>
      </w:r>
    </w:p>
    <w:p w14:paraId="5EA85C36" w14:textId="61E04F6E" w:rsidR="00690444" w:rsidRDefault="00690444" w:rsidP="00690444">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r>
                <w:rPr>
                  <w:rFonts w:ascii="Cambria Math" w:eastAsiaTheme="minorEastAsia" w:hAnsi="Cambria Math" w:cs="Arial"/>
                  <w:szCs w:val="24"/>
                </w:rPr>
                <m:t>mn</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m:t>
              </m:r>
              <m:r>
                <w:rPr>
                  <w:rFonts w:ascii="Cambria Math" w:hAnsi="Cambria Math" w:cs="Arial"/>
                  <w:szCs w:val="24"/>
                </w:rPr>
                <m:t>4</m:t>
              </m:r>
            </m:sup>
          </m:sSup>
        </m:oMath>
      </m:oMathPara>
    </w:p>
    <w:p w14:paraId="52D7FDEE" w14:textId="31FC7BE4" w:rsidR="00690444" w:rsidRPr="009437E9" w:rsidRDefault="00690444" w:rsidP="00F6142A">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oMath>
      <w:r>
        <w:rPr>
          <w:rFonts w:eastAsiaTheme="minorEastAsia"/>
        </w:rPr>
        <w:t xml:space="preserve"> is the </w:t>
      </w:r>
      <m:oMath>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th</m:t>
            </m:r>
          </m:sup>
        </m:sSup>
      </m:oMath>
      <w:r>
        <w:rPr>
          <w:rFonts w:eastAsiaTheme="minorEastAsia"/>
        </w:rPr>
        <w:t xml:space="preserve"> entry of </w:t>
      </w:r>
      <m:oMath>
        <m:r>
          <m:rPr>
            <m:sty m:val="bi"/>
          </m:rPr>
          <w:rPr>
            <w:rFonts w:ascii="Cambria Math" w:eastAsiaTheme="minorEastAsia" w:hAnsi="Cambria Math"/>
          </w:rPr>
          <m:t>c</m:t>
        </m:r>
        <m:r>
          <w:rPr>
            <w:rFonts w:ascii="Cambria Math" w:eastAsiaTheme="minorEastAsia" w:hAnsi="Cambria Math"/>
          </w:rPr>
          <m:t>=</m:t>
        </m:r>
        <m:r>
          <m:rPr>
            <m:sty m:val="bi"/>
          </m:rPr>
          <w:rPr>
            <w:rFonts w:ascii="Cambria Math" w:eastAsiaTheme="minorEastAsia" w:hAnsi="Cambria Math"/>
          </w:rPr>
          <m:t>dG</m:t>
        </m:r>
      </m:oMath>
      <w:r w:rsidRPr="00690444">
        <w:rPr>
          <w:rFonts w:eastAsiaTheme="minorEastAsia"/>
        </w:rPr>
        <w:t xml:space="preserve">, </w:t>
      </w:r>
      <w:r>
        <w:rPr>
          <w:rFonts w:eastAsiaTheme="minorEastAsia"/>
        </w:rPr>
        <w:t xml:space="preserve">with </w:t>
      </w:r>
      <m:oMath>
        <m:r>
          <m:rPr>
            <m:sty m:val="bi"/>
          </m:rPr>
          <w:rPr>
            <w:rFonts w:ascii="Cambria Math" w:eastAsiaTheme="minorEastAsia" w:hAnsi="Cambria Math"/>
          </w:rPr>
          <m:t>d</m:t>
        </m:r>
      </m:oMath>
      <w:r w:rsidR="009437E9">
        <w:rPr>
          <w:rFonts w:eastAsiaTheme="minorEastAsia"/>
        </w:rPr>
        <w:t xml:space="preserve"> being the sequence of input bits in base 4.</w:t>
      </w:r>
    </w:p>
    <w:p w14:paraId="519DF520" w14:textId="2066398C" w:rsidR="0011063D" w:rsidRDefault="00C96D3A" w:rsidP="00F6142A">
      <w:r>
        <w:t>We simulate two</w:t>
      </w:r>
      <w:r w:rsidR="0011063D">
        <w:t xml:space="preserve"> receivers, the full complexity receiver (‘VH, Full’) which correlates the received signal with all possible messages and a low-complexity receiver (‘VH, LowComp’). The latter does a staged detecti</w:t>
      </w:r>
      <w:r>
        <w:t>on, i.e. ED, sequence detection and</w:t>
      </w:r>
      <w:r w:rsidR="0011063D">
        <w:t xml:space="preserve"> detection of overlay code, with 2 hypothesis for the last 2 stages. Thus, significantly reducing the computational complexity</w:t>
      </w:r>
      <w:r w:rsidR="00FC4C05">
        <w:t>, cf. [2].</w:t>
      </w:r>
    </w:p>
    <w:p w14:paraId="3CC4DA8C" w14:textId="455A8732" w:rsidR="0011063D" w:rsidRDefault="0011063D" w:rsidP="00F6142A">
      <w:r>
        <w:lastRenderedPageBreak/>
        <w:t xml:space="preserve">From </w:t>
      </w:r>
      <w:r>
        <w:fldChar w:fldCharType="begin"/>
      </w:r>
      <w:r>
        <w:instrText xml:space="preserve"> REF _Ref115364522 \h </w:instrText>
      </w:r>
      <w:r>
        <w:fldChar w:fldCharType="separate"/>
      </w:r>
      <w:r w:rsidR="001D2EAB">
        <w:t xml:space="preserve">Figure </w:t>
      </w:r>
      <w:r w:rsidR="001D2EAB">
        <w:rPr>
          <w:noProof/>
        </w:rPr>
        <w:t>5</w:t>
      </w:r>
      <w:r>
        <w:fldChar w:fldCharType="end"/>
      </w:r>
      <w:r>
        <w:t xml:space="preserve">, we observe a gain of almost 6dB between </w:t>
      </w:r>
      <w:r>
        <w:t>DFT-precoded MC-OOK</w:t>
      </w:r>
      <w:r>
        <w:t xml:space="preserve"> with repetition and the low-complexity VH detection. Compared to the full detection, the low-complexity receiver loses about 2.3dB.</w:t>
      </w:r>
    </w:p>
    <w:p w14:paraId="3E60C9E1" w14:textId="0A1C0088" w:rsidR="0011063D" w:rsidRDefault="00D0546B" w:rsidP="00F6142A">
      <w:r>
        <w:t>The simulation results suggest that a significant performance gain can be achieved with more elaborate coding strategies at the expense of increases receiver complexity.</w:t>
      </w:r>
    </w:p>
    <w:p w14:paraId="32741926" w14:textId="77777777" w:rsidR="00A21663" w:rsidRDefault="00A21663" w:rsidP="00F6142A"/>
    <w:p w14:paraId="05CC045B" w14:textId="77777777" w:rsidR="00A21663" w:rsidRDefault="00A21663" w:rsidP="00A21663">
      <w:pPr>
        <w:keepNext/>
      </w:pPr>
      <w:r>
        <w:rPr>
          <w:noProof/>
        </w:rPr>
        <w:drawing>
          <wp:inline distT="0" distB="0" distL="0" distR="0" wp14:anchorId="1E25755A" wp14:editId="18008B29">
            <wp:extent cx="5943600" cy="32899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h_awgn_comparisson.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3289935"/>
                    </a:xfrm>
                    <a:prstGeom prst="rect">
                      <a:avLst/>
                    </a:prstGeom>
                  </pic:spPr>
                </pic:pic>
              </a:graphicData>
            </a:graphic>
          </wp:inline>
        </w:drawing>
      </w:r>
    </w:p>
    <w:p w14:paraId="1A345ED8" w14:textId="1557E06D" w:rsidR="00940A36" w:rsidRDefault="00A21663" w:rsidP="0087705F">
      <w:pPr>
        <w:pStyle w:val="Caption"/>
        <w:jc w:val="center"/>
      </w:pPr>
      <w:bookmarkStart w:id="6" w:name="_Ref115364522"/>
      <w:r>
        <w:t xml:space="preserve">Figure </w:t>
      </w:r>
      <w:r>
        <w:fldChar w:fldCharType="begin"/>
      </w:r>
      <w:r>
        <w:instrText xml:space="preserve"> SEQ Figure \* ARABIC </w:instrText>
      </w:r>
      <w:r>
        <w:fldChar w:fldCharType="separate"/>
      </w:r>
      <w:r w:rsidR="001D2EAB">
        <w:rPr>
          <w:noProof/>
        </w:rPr>
        <w:t>5</w:t>
      </w:r>
      <w:r>
        <w:fldChar w:fldCharType="end"/>
      </w:r>
      <w:bookmarkEnd w:id="6"/>
      <w:r>
        <w:t>: VH-code, AWGN, 12 symbols</w:t>
      </w:r>
    </w:p>
    <w:p w14:paraId="79BEB377" w14:textId="66961D14" w:rsidR="00C96D3A" w:rsidRPr="00C96D3A" w:rsidRDefault="00C96D3A" w:rsidP="00C96D3A">
      <w:pPr>
        <w:rPr>
          <w:b/>
        </w:rPr>
      </w:pPr>
      <w:r w:rsidRPr="00C96D3A">
        <w:rPr>
          <w:b/>
        </w:rPr>
        <w:t>Observation</w:t>
      </w:r>
      <w:r w:rsidR="001D2EAB">
        <w:rPr>
          <w:b/>
        </w:rPr>
        <w:t xml:space="preserve"> 4</w:t>
      </w:r>
      <w:r w:rsidRPr="00C96D3A">
        <w:rPr>
          <w:b/>
        </w:rPr>
        <w:t>: More elaborate coding strategies significantly increase spectral efficiency while maintaining moderate decoding complexity.</w:t>
      </w:r>
    </w:p>
    <w:p w14:paraId="2E53A5C6" w14:textId="60FFB9E8" w:rsidR="0E94E810" w:rsidRDefault="0E94E810" w:rsidP="00F855BF">
      <w:pPr>
        <w:pStyle w:val="Heading1"/>
        <w:numPr>
          <w:ilvl w:val="0"/>
          <w:numId w:val="8"/>
        </w:numPr>
      </w:pPr>
      <w:r w:rsidRPr="66396AB5">
        <w:t>Conclusion</w:t>
      </w:r>
    </w:p>
    <w:p w14:paraId="0392D2A9" w14:textId="15657154" w:rsidR="0E94E810" w:rsidRDefault="0E94E810" w:rsidP="2D31322C">
      <w:pPr>
        <w:jc w:val="both"/>
        <w:rPr>
          <w:rFonts w:ascii="Calibri" w:eastAsia="Calibri" w:hAnsi="Calibri" w:cs="Calibri"/>
        </w:rPr>
      </w:pPr>
      <w:r w:rsidRPr="2D31322C">
        <w:rPr>
          <w:rFonts w:ascii="Calibri" w:eastAsia="Calibri" w:hAnsi="Calibri" w:cs="Calibri"/>
        </w:rPr>
        <w:t>In this contribution the following proposals and observations have been made:</w:t>
      </w:r>
    </w:p>
    <w:p w14:paraId="0636DE8D" w14:textId="1630F27A" w:rsidR="001D2EAB" w:rsidRDefault="001D2EAB" w:rsidP="001D2EAB">
      <w:pPr>
        <w:rPr>
          <w:b/>
        </w:rPr>
      </w:pPr>
      <w:r w:rsidRPr="001D2EAB">
        <w:rPr>
          <w:b/>
        </w:rPr>
        <w:t>Observation 1: Manchester coding significantly improves performance of ED.</w:t>
      </w:r>
    </w:p>
    <w:p w14:paraId="34E7C9CC" w14:textId="77777777" w:rsidR="001D2EAB" w:rsidRPr="00970EFA" w:rsidRDefault="001D2EAB" w:rsidP="001D2EAB">
      <w:pPr>
        <w:rPr>
          <w:b/>
        </w:rPr>
      </w:pPr>
      <w:r w:rsidRPr="00970EFA">
        <w:rPr>
          <w:rFonts w:eastAsiaTheme="minorEastAsia"/>
          <w:b/>
        </w:rPr>
        <w:t>Observation</w:t>
      </w:r>
      <w:r>
        <w:rPr>
          <w:rFonts w:eastAsiaTheme="minorEastAsia"/>
          <w:b/>
        </w:rPr>
        <w:t xml:space="preserve"> 2</w:t>
      </w:r>
      <w:r w:rsidRPr="00970EFA">
        <w:rPr>
          <w:rFonts w:eastAsiaTheme="minorEastAsia"/>
          <w:b/>
        </w:rPr>
        <w:t>: For MC-OOK, the number of allocated sub-carriers is a trade-off between SNR gain and multi-path diversity gain.</w:t>
      </w:r>
    </w:p>
    <w:p w14:paraId="401778F0" w14:textId="77777777" w:rsidR="001D2EAB" w:rsidRPr="00900AB9" w:rsidRDefault="001D2EAB" w:rsidP="001D2EAB">
      <w:pPr>
        <w:rPr>
          <w:b/>
        </w:rPr>
      </w:pPr>
      <w:r w:rsidRPr="00900AB9">
        <w:rPr>
          <w:b/>
        </w:rPr>
        <w:t>Observation</w:t>
      </w:r>
      <w:r>
        <w:rPr>
          <w:b/>
        </w:rPr>
        <w:t xml:space="preserve"> 3</w:t>
      </w:r>
      <w:r w:rsidRPr="00900AB9">
        <w:rPr>
          <w:b/>
        </w:rPr>
        <w:t>: Jointly encoding multiple bits results in significant performance gain.</w:t>
      </w:r>
    </w:p>
    <w:p w14:paraId="4F06182F" w14:textId="77777777" w:rsidR="001D2EAB" w:rsidRPr="00C96D3A" w:rsidRDefault="001D2EAB" w:rsidP="001D2EAB">
      <w:pPr>
        <w:rPr>
          <w:b/>
        </w:rPr>
      </w:pPr>
      <w:r w:rsidRPr="00C96D3A">
        <w:rPr>
          <w:b/>
        </w:rPr>
        <w:t>Observation</w:t>
      </w:r>
      <w:r>
        <w:rPr>
          <w:b/>
        </w:rPr>
        <w:t xml:space="preserve"> 4</w:t>
      </w:r>
      <w:r w:rsidRPr="00C96D3A">
        <w:rPr>
          <w:b/>
        </w:rPr>
        <w:t>: More elaborate coding strategies significantly increase spectral efficiency while maintaining moderate decoding complexity.</w:t>
      </w:r>
    </w:p>
    <w:p w14:paraId="6ED2EA24" w14:textId="77777777" w:rsidR="001D2EAB" w:rsidRPr="001D2EAB" w:rsidRDefault="001D2EAB" w:rsidP="001D2EAB">
      <w:pPr>
        <w:rPr>
          <w:b/>
        </w:rPr>
      </w:pPr>
    </w:p>
    <w:p w14:paraId="00C76FC1" w14:textId="114D93D8" w:rsidR="4760D8B0" w:rsidRPr="00F855BF" w:rsidRDefault="4760D8B0" w:rsidP="00A01ABA">
      <w:pPr>
        <w:pStyle w:val="Heading1"/>
        <w:numPr>
          <w:ilvl w:val="0"/>
          <w:numId w:val="8"/>
        </w:numPr>
        <w:rPr>
          <w:rFonts w:eastAsia="Calibri Light"/>
        </w:rPr>
      </w:pPr>
      <w:r w:rsidRPr="00F855BF">
        <w:rPr>
          <w:rFonts w:eastAsia="Calibri Light"/>
        </w:rPr>
        <w:lastRenderedPageBreak/>
        <w:t>References</w:t>
      </w:r>
    </w:p>
    <w:p w14:paraId="4071DDDE" w14:textId="4DCA1F2D" w:rsidR="4760D8B0" w:rsidRDefault="4760D8B0" w:rsidP="66396AB5">
      <w:pPr>
        <w:rPr>
          <w:rFonts w:ascii="Calibri" w:eastAsia="Calibri" w:hAnsi="Calibri" w:cs="Calibri"/>
        </w:rPr>
      </w:pPr>
      <w:r w:rsidRPr="66396AB5">
        <w:rPr>
          <w:rFonts w:ascii="Calibri" w:eastAsia="Calibri" w:hAnsi="Calibri" w:cs="Calibri"/>
        </w:rPr>
        <w:t>[</w:t>
      </w:r>
      <w:r w:rsidR="00936653">
        <w:rPr>
          <w:rFonts w:ascii="Calibri" w:eastAsia="Calibri" w:hAnsi="Calibri" w:cs="Calibri"/>
        </w:rPr>
        <w:t>1] RP-213645</w:t>
      </w:r>
      <w:r w:rsidRPr="66396AB5">
        <w:rPr>
          <w:rFonts w:ascii="Calibri" w:eastAsia="Calibri" w:hAnsi="Calibri" w:cs="Calibri"/>
        </w:rPr>
        <w:t>, “</w:t>
      </w:r>
      <w:r w:rsidR="00936653" w:rsidRPr="00936653">
        <w:rPr>
          <w:rFonts w:ascii="Calibri" w:eastAsia="Calibri" w:hAnsi="Calibri" w:cs="Calibri"/>
        </w:rPr>
        <w:t>New SID: Study on low-power Wake-up Signal and Receiver for NR</w:t>
      </w:r>
      <w:r w:rsidRPr="66396AB5">
        <w:rPr>
          <w:rFonts w:ascii="Calibri" w:eastAsia="Calibri" w:hAnsi="Calibri" w:cs="Calibri"/>
        </w:rPr>
        <w:t>”</w:t>
      </w:r>
      <w:r w:rsidR="00936653">
        <w:rPr>
          <w:rFonts w:ascii="Calibri" w:eastAsia="Calibri" w:hAnsi="Calibri" w:cs="Calibri"/>
        </w:rPr>
        <w:t>, vivo, RAN#94e</w:t>
      </w:r>
    </w:p>
    <w:p w14:paraId="3B68FD67" w14:textId="70408EB7" w:rsidR="6D4ECDA7" w:rsidRDefault="00A04FE6" w:rsidP="66396AB5">
      <w:pPr>
        <w:rPr>
          <w:rFonts w:ascii="Calibri" w:eastAsia="Calibri" w:hAnsi="Calibri" w:cs="Calibri"/>
        </w:rPr>
      </w:pPr>
      <w:r>
        <w:rPr>
          <w:rFonts w:ascii="Calibri" w:eastAsia="Calibri" w:hAnsi="Calibri" w:cs="Calibri"/>
        </w:rPr>
        <w:t xml:space="preserve">[2] </w:t>
      </w:r>
      <w:r w:rsidRPr="00A04FE6">
        <w:rPr>
          <w:rFonts w:ascii="Calibri" w:eastAsia="Calibri" w:hAnsi="Calibri" w:cs="Calibri"/>
        </w:rPr>
        <w:t>R1-2210052</w:t>
      </w:r>
      <w:r w:rsidR="6D4ECDA7" w:rsidRPr="66396AB5">
        <w:rPr>
          <w:rFonts w:ascii="Calibri" w:eastAsia="Calibri" w:hAnsi="Calibri" w:cs="Calibri"/>
        </w:rPr>
        <w:t>, “</w:t>
      </w:r>
      <w:r w:rsidRPr="00A04FE6">
        <w:rPr>
          <w:rFonts w:ascii="Calibri" w:eastAsia="Calibri" w:hAnsi="Calibri" w:cs="Calibri"/>
        </w:rPr>
        <w:t>Discussion on Low power WUS receiver architectures</w:t>
      </w:r>
      <w:r w:rsidR="6D4ECDA7" w:rsidRPr="66396AB5">
        <w:rPr>
          <w:rFonts w:ascii="Calibri" w:eastAsia="Calibri" w:hAnsi="Calibri" w:cs="Calibri"/>
        </w:rPr>
        <w:t>”</w:t>
      </w:r>
      <w:r>
        <w:rPr>
          <w:rFonts w:ascii="Calibri" w:eastAsia="Calibri" w:hAnsi="Calibri" w:cs="Calibri"/>
        </w:rPr>
        <w:t>, EURECOM, RAN1#110b-e</w:t>
      </w:r>
    </w:p>
    <w:p w14:paraId="70E32438" w14:textId="4D155734" w:rsidR="58C13791" w:rsidRPr="00F3186B" w:rsidRDefault="385C2081" w:rsidP="58C13791">
      <w:pPr>
        <w:rPr>
          <w:rFonts w:ascii="Calibri" w:eastAsia="Calibri" w:hAnsi="Calibri" w:cs="Calibri"/>
        </w:rPr>
      </w:pPr>
      <w:r w:rsidRPr="66396AB5">
        <w:rPr>
          <w:rFonts w:ascii="Calibri" w:eastAsia="Calibri" w:hAnsi="Calibri" w:cs="Calibri"/>
        </w:rPr>
        <w:t xml:space="preserve">[3] </w:t>
      </w:r>
      <w:r w:rsidR="003403CA" w:rsidRPr="003403CA">
        <w:rPr>
          <w:rFonts w:ascii="Calibri" w:eastAsia="Calibri" w:hAnsi="Calibri" w:cs="Calibri"/>
        </w:rPr>
        <w:t>R1-2210054</w:t>
      </w:r>
      <w:r w:rsidR="65468A34" w:rsidRPr="66396AB5">
        <w:rPr>
          <w:rFonts w:ascii="Calibri" w:eastAsia="Calibri" w:hAnsi="Calibri" w:cs="Calibri"/>
        </w:rPr>
        <w:t>,</w:t>
      </w:r>
      <w:r w:rsidRPr="66396AB5">
        <w:rPr>
          <w:rFonts w:ascii="Calibri" w:eastAsia="Calibri" w:hAnsi="Calibri" w:cs="Calibri"/>
        </w:rPr>
        <w:t xml:space="preserve"> </w:t>
      </w:r>
      <w:r w:rsidR="65468A34" w:rsidRPr="66396AB5">
        <w:rPr>
          <w:rFonts w:ascii="Calibri" w:eastAsia="Calibri" w:hAnsi="Calibri" w:cs="Calibri"/>
        </w:rPr>
        <w:t>“</w:t>
      </w:r>
      <w:r w:rsidR="003403CA" w:rsidRPr="003403CA">
        <w:rPr>
          <w:rFonts w:ascii="Calibri" w:eastAsia="Calibri" w:hAnsi="Calibri" w:cs="Calibri"/>
        </w:rPr>
        <w:t>Discussion on L1 signal design and procedure for low power WUS</w:t>
      </w:r>
      <w:r w:rsidR="3040EAEC" w:rsidRPr="66396AB5">
        <w:rPr>
          <w:rFonts w:ascii="Calibri" w:eastAsia="Calibri" w:hAnsi="Calibri" w:cs="Calibri"/>
        </w:rPr>
        <w:t>“</w:t>
      </w:r>
      <w:r w:rsidR="003403CA">
        <w:rPr>
          <w:rFonts w:ascii="Calibri" w:eastAsia="Calibri" w:hAnsi="Calibri" w:cs="Calibri"/>
        </w:rPr>
        <w:t>, EURECOM, RAN1#110b-e</w:t>
      </w:r>
    </w:p>
    <w:sectPr w:rsidR="58C13791" w:rsidRPr="00F3186B">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33A15" w14:textId="77777777" w:rsidR="0049246C" w:rsidRDefault="0049246C" w:rsidP="0023068F">
      <w:pPr>
        <w:spacing w:after="0" w:line="240" w:lineRule="auto"/>
      </w:pPr>
      <w:r>
        <w:separator/>
      </w:r>
    </w:p>
  </w:endnote>
  <w:endnote w:type="continuationSeparator" w:id="0">
    <w:p w14:paraId="7DCADB48" w14:textId="77777777" w:rsidR="0049246C" w:rsidRDefault="0049246C"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57962" w14:textId="77777777" w:rsidR="0049246C" w:rsidRDefault="0049246C" w:rsidP="0023068F">
      <w:pPr>
        <w:spacing w:after="0" w:line="240" w:lineRule="auto"/>
      </w:pPr>
      <w:r>
        <w:separator/>
      </w:r>
    </w:p>
  </w:footnote>
  <w:footnote w:type="continuationSeparator" w:id="0">
    <w:p w14:paraId="42F77C91" w14:textId="77777777" w:rsidR="0049246C" w:rsidRDefault="0049246C"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0F9B641E"/>
    <w:multiLevelType w:val="hybridMultilevel"/>
    <w:tmpl w:val="F9E21FCE"/>
    <w:lvl w:ilvl="0" w:tplc="73A2A8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3"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4"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DC0375"/>
    <w:multiLevelType w:val="hybridMultilevel"/>
    <w:tmpl w:val="A50A15D0"/>
    <w:lvl w:ilvl="0" w:tplc="7022669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7" w15:restartNumberingAfterBreak="0">
    <w:nsid w:val="49FF10A3"/>
    <w:multiLevelType w:val="hybridMultilevel"/>
    <w:tmpl w:val="4588F748"/>
    <w:lvl w:ilvl="0" w:tplc="7022669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9"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10"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0"/>
  </w:num>
  <w:num w:numId="5">
    <w:abstractNumId w:val="8"/>
  </w:num>
  <w:num w:numId="6">
    <w:abstractNumId w:val="2"/>
  </w:num>
  <w:num w:numId="7">
    <w:abstractNumId w:val="9"/>
  </w:num>
  <w:num w:numId="8">
    <w:abstractNumId w:val="4"/>
  </w:num>
  <w:num w:numId="9">
    <w:abstractNumId w:val="1"/>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33787"/>
    <w:rsid w:val="000746EA"/>
    <w:rsid w:val="000776D6"/>
    <w:rsid w:val="000B4D04"/>
    <w:rsid w:val="000C4231"/>
    <w:rsid w:val="0011063D"/>
    <w:rsid w:val="001A230E"/>
    <w:rsid w:val="001A7A04"/>
    <w:rsid w:val="001D2EAB"/>
    <w:rsid w:val="002254A3"/>
    <w:rsid w:val="0023068F"/>
    <w:rsid w:val="002518B3"/>
    <w:rsid w:val="002D3E83"/>
    <w:rsid w:val="002E6092"/>
    <w:rsid w:val="002F3460"/>
    <w:rsid w:val="00320C73"/>
    <w:rsid w:val="003403CA"/>
    <w:rsid w:val="00361BA6"/>
    <w:rsid w:val="0036778C"/>
    <w:rsid w:val="00383391"/>
    <w:rsid w:val="003975A7"/>
    <w:rsid w:val="003A010A"/>
    <w:rsid w:val="003F34CE"/>
    <w:rsid w:val="003F485F"/>
    <w:rsid w:val="00425189"/>
    <w:rsid w:val="0049246C"/>
    <w:rsid w:val="004D2503"/>
    <w:rsid w:val="004E7E43"/>
    <w:rsid w:val="00504B3D"/>
    <w:rsid w:val="00510AC1"/>
    <w:rsid w:val="0053654C"/>
    <w:rsid w:val="00556927"/>
    <w:rsid w:val="00560DB8"/>
    <w:rsid w:val="006540CE"/>
    <w:rsid w:val="00690444"/>
    <w:rsid w:val="006A364D"/>
    <w:rsid w:val="006F5AAB"/>
    <w:rsid w:val="0073660F"/>
    <w:rsid w:val="00744AE7"/>
    <w:rsid w:val="00751899"/>
    <w:rsid w:val="007773DA"/>
    <w:rsid w:val="007B946E"/>
    <w:rsid w:val="00807AA7"/>
    <w:rsid w:val="0087705F"/>
    <w:rsid w:val="0088232D"/>
    <w:rsid w:val="008842D2"/>
    <w:rsid w:val="00900AB9"/>
    <w:rsid w:val="00936653"/>
    <w:rsid w:val="00940A36"/>
    <w:rsid w:val="009437E9"/>
    <w:rsid w:val="00953A47"/>
    <w:rsid w:val="00970EFA"/>
    <w:rsid w:val="009A7A20"/>
    <w:rsid w:val="009F5E60"/>
    <w:rsid w:val="00A01ABA"/>
    <w:rsid w:val="00A03B06"/>
    <w:rsid w:val="00A04FE6"/>
    <w:rsid w:val="00A21663"/>
    <w:rsid w:val="00A363F5"/>
    <w:rsid w:val="00AA36BC"/>
    <w:rsid w:val="00AF250B"/>
    <w:rsid w:val="00B866CC"/>
    <w:rsid w:val="00B974B2"/>
    <w:rsid w:val="00BB5D49"/>
    <w:rsid w:val="00BC3199"/>
    <w:rsid w:val="00BE4BAA"/>
    <w:rsid w:val="00C057F1"/>
    <w:rsid w:val="00C374FA"/>
    <w:rsid w:val="00C67EE2"/>
    <w:rsid w:val="00C71C60"/>
    <w:rsid w:val="00C83AE1"/>
    <w:rsid w:val="00C96D3A"/>
    <w:rsid w:val="00CA5D44"/>
    <w:rsid w:val="00CE7CEF"/>
    <w:rsid w:val="00D0546B"/>
    <w:rsid w:val="00D326BE"/>
    <w:rsid w:val="00D3593E"/>
    <w:rsid w:val="00D74BED"/>
    <w:rsid w:val="00D952C6"/>
    <w:rsid w:val="00DE5800"/>
    <w:rsid w:val="00E2278D"/>
    <w:rsid w:val="00E23BD4"/>
    <w:rsid w:val="00EE4897"/>
    <w:rsid w:val="00EF793F"/>
    <w:rsid w:val="00F3186B"/>
    <w:rsid w:val="00F40EFF"/>
    <w:rsid w:val="00F6142A"/>
    <w:rsid w:val="00F855BF"/>
    <w:rsid w:val="00FC4C0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EF793F"/>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EF793F"/>
    <w:rPr>
      <w:color w:val="808080"/>
    </w:rPr>
  </w:style>
  <w:style w:type="table" w:styleId="GridTable1Light">
    <w:name w:val="Grid Table 1 Light"/>
    <w:basedOn w:val="TableNormal"/>
    <w:uiPriority w:val="46"/>
    <w:rsid w:val="00A03B0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8ADFB53B-96B7-4CA4-9D6F-9EAF587E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8</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EURECOM</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Evaluation on Low power WUS</dc:title>
  <dc:subject/>
  <dc:creator>Sebastian, WAGNER</dc:creator>
  <cp:keywords>R1-2210051</cp:keywords>
  <dc:description/>
  <cp:lastModifiedBy>Sebastian Wagner</cp:lastModifiedBy>
  <cp:revision>43</cp:revision>
  <dcterms:created xsi:type="dcterms:W3CDTF">2022-09-26T09:14:00Z</dcterms:created>
  <dcterms:modified xsi:type="dcterms:W3CDTF">2022-09-30T14:21:00Z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